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4DA48" w14:textId="5A9167B8" w:rsidR="00FA7269" w:rsidRPr="0048370E" w:rsidRDefault="000F46BC" w:rsidP="009537D0">
      <w:pPr>
        <w:jc w:val="center"/>
        <w:rPr>
          <w:rFonts w:ascii="Times New Roman" w:hAnsi="Times New Roman" w:cs="Times New Roman"/>
          <w:b/>
          <w:caps/>
          <w:sz w:val="24"/>
          <w:szCs w:val="24"/>
        </w:rPr>
      </w:pPr>
      <w:bookmarkStart w:id="0" w:name="_Hlk527020396"/>
      <w:bookmarkEnd w:id="0"/>
      <w:r w:rsidRPr="0048370E">
        <w:rPr>
          <w:rFonts w:ascii="Times New Roman" w:hAnsi="Times New Roman" w:cs="Times New Roman"/>
          <w:b/>
          <w:caps/>
          <w:sz w:val="24"/>
          <w:szCs w:val="24"/>
        </w:rPr>
        <w:t xml:space="preserve">Project no. </w:t>
      </w:r>
      <w:r w:rsidR="00AE01A8">
        <w:rPr>
          <w:rFonts w:ascii="Times New Roman" w:hAnsi="Times New Roman" w:cs="Times New Roman"/>
          <w:b/>
          <w:caps/>
          <w:sz w:val="24"/>
          <w:szCs w:val="24"/>
        </w:rPr>
        <w:t>518</w:t>
      </w:r>
      <w:r w:rsidR="00D83553">
        <w:rPr>
          <w:rFonts w:ascii="Times New Roman" w:hAnsi="Times New Roman" w:cs="Times New Roman"/>
          <w:b/>
          <w:caps/>
          <w:sz w:val="24"/>
          <w:szCs w:val="24"/>
        </w:rPr>
        <w:t>71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359"/>
        <w:gridCol w:w="4415"/>
      </w:tblGrid>
      <w:tr w:rsidR="00FA7269" w:rsidRPr="009537D0" w14:paraId="46F928BE" w14:textId="77777777" w:rsidTr="008B2C47">
        <w:tc>
          <w:tcPr>
            <w:tcW w:w="4698" w:type="dxa"/>
          </w:tcPr>
          <w:p w14:paraId="1EB6D7F2" w14:textId="2EE2FD83" w:rsidR="00FA7269" w:rsidRPr="00E90B86" w:rsidRDefault="00E90B86" w:rsidP="00DE1BA1">
            <w:pPr>
              <w:rPr>
                <w:rFonts w:ascii="Times New Roman" w:hAnsi="Times New Roman" w:cs="Times New Roman"/>
                <w:b/>
                <w:bCs/>
                <w:caps/>
                <w:sz w:val="24"/>
                <w:szCs w:val="24"/>
              </w:rPr>
            </w:pPr>
            <w:r w:rsidRPr="00E90B86">
              <w:rPr>
                <w:rFonts w:ascii="Times New Roman" w:hAnsi="Times New Roman" w:cs="Times New Roman"/>
                <w:b/>
                <w:bCs/>
                <w:color w:val="333333"/>
                <w:sz w:val="24"/>
                <w:szCs w:val="24"/>
                <w:shd w:val="clear" w:color="auto" w:fill="FFFFFF"/>
              </w:rPr>
              <w:t>REVIEW OF THE ERCOT SCARCITY PRICING MECHANISM</w:t>
            </w:r>
          </w:p>
        </w:tc>
        <w:tc>
          <w:tcPr>
            <w:tcW w:w="360" w:type="dxa"/>
          </w:tcPr>
          <w:p w14:paraId="678725F2" w14:textId="77777777" w:rsidR="00FA7269" w:rsidRPr="007F68E4" w:rsidRDefault="00FA7269" w:rsidP="00A96898">
            <w:pPr>
              <w:rPr>
                <w:rFonts w:ascii="Times New Roman" w:hAnsi="Times New Roman" w:cs="Times New Roman"/>
                <w:b/>
                <w:caps/>
                <w:sz w:val="24"/>
                <w:szCs w:val="24"/>
              </w:rPr>
            </w:pPr>
            <w:r w:rsidRPr="007F68E4">
              <w:rPr>
                <w:rFonts w:ascii="Times New Roman" w:hAnsi="Times New Roman" w:cs="Times New Roman"/>
                <w:b/>
                <w:caps/>
                <w:sz w:val="24"/>
                <w:szCs w:val="24"/>
              </w:rPr>
              <w:t>§</w:t>
            </w:r>
          </w:p>
          <w:p w14:paraId="46C7963F" w14:textId="77777777" w:rsidR="00FA7269" w:rsidRPr="007F68E4" w:rsidRDefault="00FA7269" w:rsidP="00A96898">
            <w:pPr>
              <w:rPr>
                <w:rFonts w:ascii="Times New Roman" w:hAnsi="Times New Roman" w:cs="Times New Roman"/>
                <w:b/>
                <w:caps/>
                <w:sz w:val="24"/>
                <w:szCs w:val="24"/>
              </w:rPr>
            </w:pPr>
            <w:r w:rsidRPr="007F68E4">
              <w:rPr>
                <w:rFonts w:ascii="Times New Roman" w:hAnsi="Times New Roman" w:cs="Times New Roman"/>
                <w:b/>
                <w:caps/>
                <w:sz w:val="24"/>
                <w:szCs w:val="24"/>
              </w:rPr>
              <w:t>§</w:t>
            </w:r>
          </w:p>
          <w:p w14:paraId="71DBC6DA" w14:textId="77777777" w:rsidR="00B552A5" w:rsidRPr="007F68E4" w:rsidRDefault="00B552A5" w:rsidP="00B552A5">
            <w:pPr>
              <w:rPr>
                <w:rFonts w:ascii="Times New Roman" w:hAnsi="Times New Roman" w:cs="Times New Roman"/>
                <w:b/>
                <w:caps/>
                <w:sz w:val="24"/>
                <w:szCs w:val="24"/>
              </w:rPr>
            </w:pPr>
            <w:r w:rsidRPr="007F68E4">
              <w:rPr>
                <w:rFonts w:ascii="Times New Roman" w:hAnsi="Times New Roman" w:cs="Times New Roman"/>
                <w:b/>
                <w:caps/>
                <w:sz w:val="24"/>
                <w:szCs w:val="24"/>
              </w:rPr>
              <w:t>§</w:t>
            </w:r>
          </w:p>
          <w:p w14:paraId="17687C7A" w14:textId="77777777" w:rsidR="007F68E4" w:rsidRPr="007F68E4" w:rsidRDefault="007F68E4" w:rsidP="007F68E4">
            <w:pPr>
              <w:rPr>
                <w:rFonts w:ascii="Times New Roman" w:hAnsi="Times New Roman" w:cs="Times New Roman"/>
                <w:b/>
                <w:caps/>
                <w:sz w:val="24"/>
                <w:szCs w:val="24"/>
              </w:rPr>
            </w:pPr>
            <w:r w:rsidRPr="007F68E4">
              <w:rPr>
                <w:rFonts w:ascii="Times New Roman" w:hAnsi="Times New Roman" w:cs="Times New Roman"/>
                <w:b/>
                <w:caps/>
                <w:sz w:val="24"/>
                <w:szCs w:val="24"/>
              </w:rPr>
              <w:t>§</w:t>
            </w:r>
          </w:p>
          <w:p w14:paraId="1E7C21B9" w14:textId="77777777" w:rsidR="00B552A5" w:rsidRPr="005350ED" w:rsidRDefault="00B552A5" w:rsidP="007F68E4">
            <w:pPr>
              <w:rPr>
                <w:rFonts w:ascii="Times New Roman" w:hAnsi="Times New Roman" w:cs="Times New Roman"/>
                <w:b/>
                <w:caps/>
                <w:sz w:val="24"/>
                <w:szCs w:val="24"/>
              </w:rPr>
            </w:pPr>
          </w:p>
        </w:tc>
        <w:tc>
          <w:tcPr>
            <w:tcW w:w="4518" w:type="dxa"/>
          </w:tcPr>
          <w:p w14:paraId="1B268209" w14:textId="77777777" w:rsidR="00FA7269" w:rsidRPr="00AB549D" w:rsidRDefault="00FA7269" w:rsidP="00242FD3">
            <w:pPr>
              <w:spacing w:line="360" w:lineRule="auto"/>
              <w:jc w:val="center"/>
              <w:rPr>
                <w:rFonts w:ascii="Times New Roman" w:hAnsi="Times New Roman" w:cs="Times New Roman"/>
                <w:b/>
                <w:caps/>
                <w:sz w:val="24"/>
                <w:szCs w:val="24"/>
              </w:rPr>
            </w:pPr>
            <w:r w:rsidRPr="00AB549D">
              <w:rPr>
                <w:rFonts w:ascii="Times New Roman" w:hAnsi="Times New Roman" w:cs="Times New Roman"/>
                <w:b/>
                <w:caps/>
                <w:sz w:val="24"/>
                <w:szCs w:val="24"/>
              </w:rPr>
              <w:t>Public utility commission</w:t>
            </w:r>
          </w:p>
          <w:p w14:paraId="2F576637" w14:textId="77777777" w:rsidR="00FA7269" w:rsidRPr="00242FD3" w:rsidRDefault="00FA7269" w:rsidP="00242FD3">
            <w:pPr>
              <w:spacing w:line="360" w:lineRule="auto"/>
              <w:jc w:val="center"/>
              <w:rPr>
                <w:rFonts w:ascii="Times New Roman" w:hAnsi="Times New Roman" w:cs="Times New Roman"/>
                <w:b/>
                <w:caps/>
                <w:sz w:val="24"/>
                <w:szCs w:val="24"/>
              </w:rPr>
            </w:pPr>
            <w:r w:rsidRPr="00AB549D">
              <w:rPr>
                <w:rFonts w:ascii="Times New Roman" w:hAnsi="Times New Roman" w:cs="Times New Roman"/>
                <w:b/>
                <w:caps/>
                <w:sz w:val="24"/>
                <w:szCs w:val="24"/>
              </w:rPr>
              <w:t>Of</w:t>
            </w:r>
            <w:r w:rsidR="00242FD3">
              <w:rPr>
                <w:rFonts w:ascii="Times New Roman" w:hAnsi="Times New Roman" w:cs="Times New Roman"/>
                <w:b/>
                <w:caps/>
                <w:sz w:val="24"/>
                <w:szCs w:val="24"/>
              </w:rPr>
              <w:t xml:space="preserve"> </w:t>
            </w:r>
            <w:r w:rsidRPr="00AB549D">
              <w:rPr>
                <w:rFonts w:ascii="Times New Roman" w:hAnsi="Times New Roman" w:cs="Times New Roman"/>
                <w:b/>
                <w:caps/>
                <w:sz w:val="24"/>
                <w:szCs w:val="24"/>
              </w:rPr>
              <w:t>texas</w:t>
            </w:r>
          </w:p>
        </w:tc>
      </w:tr>
    </w:tbl>
    <w:p w14:paraId="5F9CD5EA" w14:textId="77777777" w:rsidR="006E55AF" w:rsidRPr="00D6576E" w:rsidRDefault="006E55AF" w:rsidP="00FA7269">
      <w:pPr>
        <w:spacing w:after="0" w:line="240" w:lineRule="auto"/>
        <w:jc w:val="center"/>
        <w:rPr>
          <w:rFonts w:ascii="Times New Roman" w:hAnsi="Times New Roman" w:cs="Times New Roman"/>
          <w:b/>
          <w:sz w:val="24"/>
          <w:szCs w:val="24"/>
        </w:rPr>
      </w:pPr>
    </w:p>
    <w:p w14:paraId="1EC76A7F" w14:textId="77777777" w:rsidR="00BA2304" w:rsidRPr="00D6576E" w:rsidRDefault="00BA2304" w:rsidP="00FA7269">
      <w:pPr>
        <w:spacing w:after="0" w:line="240" w:lineRule="auto"/>
        <w:jc w:val="center"/>
        <w:rPr>
          <w:rFonts w:ascii="Times New Roman" w:hAnsi="Times New Roman" w:cs="Times New Roman"/>
          <w:b/>
          <w:sz w:val="24"/>
          <w:szCs w:val="24"/>
        </w:rPr>
      </w:pPr>
    </w:p>
    <w:p w14:paraId="634D409C" w14:textId="466E0E5B" w:rsidR="00FA7269" w:rsidRPr="0048370E" w:rsidRDefault="00190776" w:rsidP="00FA726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TEXAS COMPETITIVE POWER ADVOCATES (TCPA) </w:t>
      </w:r>
      <w:r w:rsidR="0060728C">
        <w:rPr>
          <w:rFonts w:ascii="Times New Roman" w:hAnsi="Times New Roman" w:cs="Times New Roman"/>
          <w:b/>
          <w:sz w:val="24"/>
          <w:szCs w:val="24"/>
        </w:rPr>
        <w:t>COMMENTS</w:t>
      </w:r>
    </w:p>
    <w:p w14:paraId="25B47C89" w14:textId="77777777" w:rsidR="005D6220" w:rsidRPr="0048370E" w:rsidRDefault="005D6220" w:rsidP="00FA7269">
      <w:pPr>
        <w:spacing w:after="0" w:line="240" w:lineRule="auto"/>
        <w:jc w:val="center"/>
        <w:rPr>
          <w:rFonts w:ascii="Times New Roman" w:hAnsi="Times New Roman" w:cs="Times New Roman"/>
          <w:b/>
          <w:sz w:val="24"/>
          <w:szCs w:val="24"/>
        </w:rPr>
      </w:pPr>
    </w:p>
    <w:p w14:paraId="181A61C6" w14:textId="77777777" w:rsidR="009537D0" w:rsidRPr="0048370E" w:rsidRDefault="009537D0" w:rsidP="00FA7269">
      <w:pPr>
        <w:spacing w:after="0" w:line="240" w:lineRule="auto"/>
        <w:jc w:val="center"/>
        <w:rPr>
          <w:rFonts w:ascii="Times New Roman" w:hAnsi="Times New Roman" w:cs="Times New Roman"/>
          <w:b/>
          <w:sz w:val="24"/>
          <w:szCs w:val="24"/>
        </w:rPr>
      </w:pPr>
    </w:p>
    <w:p w14:paraId="47259FC7" w14:textId="22943ED4" w:rsidR="00A923EF" w:rsidRPr="00042EF0" w:rsidRDefault="00042EF0" w:rsidP="00042EF0">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Pr="00042EF0">
        <w:rPr>
          <w:rFonts w:ascii="Times New Roman" w:hAnsi="Times New Roman" w:cs="Times New Roman"/>
          <w:sz w:val="24"/>
          <w:szCs w:val="24"/>
        </w:rPr>
        <w:t>Texas Competitive Power Advocates (TCPA) is a trade association representing power generation companies</w:t>
      </w:r>
      <w:r w:rsidR="001F3983">
        <w:rPr>
          <w:rFonts w:ascii="Times New Roman" w:hAnsi="Times New Roman" w:cs="Times New Roman"/>
          <w:sz w:val="24"/>
          <w:szCs w:val="24"/>
        </w:rPr>
        <w:t xml:space="preserve"> and</w:t>
      </w:r>
      <w:r w:rsidRPr="00042EF0">
        <w:rPr>
          <w:rFonts w:ascii="Times New Roman" w:hAnsi="Times New Roman" w:cs="Times New Roman"/>
          <w:sz w:val="24"/>
          <w:szCs w:val="24"/>
        </w:rPr>
        <w:t xml:space="preserve"> wholesale power marketers with investments in Texas and the Electric Reliability Council of Texas (ERCOT) wholesale electric market. </w:t>
      </w:r>
      <w:r>
        <w:rPr>
          <w:rFonts w:ascii="Times New Roman" w:hAnsi="Times New Roman" w:cs="Times New Roman"/>
          <w:sz w:val="24"/>
          <w:szCs w:val="24"/>
        </w:rPr>
        <w:t xml:space="preserve">TCPA members and their affiliates provide a wide range of important market functions and services in ERCOT, including the development, operation, and management of power generation assets, the scheduling and marketing of power, the provision of energy management services and the sales of competitive electric service to consumers. TCPA members provide more than </w:t>
      </w:r>
      <w:r w:rsidR="001F3983">
        <w:rPr>
          <w:rFonts w:ascii="Times New Roman" w:hAnsi="Times New Roman" w:cs="Times New Roman"/>
          <w:sz w:val="24"/>
          <w:szCs w:val="24"/>
        </w:rPr>
        <w:t>sixty</w:t>
      </w:r>
      <w:r>
        <w:rPr>
          <w:rFonts w:ascii="Times New Roman" w:hAnsi="Times New Roman" w:cs="Times New Roman"/>
          <w:sz w:val="24"/>
          <w:szCs w:val="24"/>
        </w:rPr>
        <w:t xml:space="preserve"> percent (</w:t>
      </w:r>
      <w:r w:rsidR="001F3983">
        <w:rPr>
          <w:rFonts w:ascii="Times New Roman" w:hAnsi="Times New Roman" w:cs="Times New Roman"/>
          <w:sz w:val="24"/>
          <w:szCs w:val="24"/>
        </w:rPr>
        <w:t>6</w:t>
      </w:r>
      <w:r>
        <w:rPr>
          <w:rFonts w:ascii="Times New Roman" w:hAnsi="Times New Roman" w:cs="Times New Roman"/>
          <w:sz w:val="24"/>
          <w:szCs w:val="24"/>
        </w:rPr>
        <w:t xml:space="preserve">0%) of the total net operable electric generating capacity in ERCOT, representing billions of dollars of investment in the state, and employing thousands of Texans. </w:t>
      </w:r>
    </w:p>
    <w:p w14:paraId="19BC1240" w14:textId="2BAE8C00" w:rsidR="00572AE4" w:rsidRDefault="00572AE4" w:rsidP="00D83553">
      <w:pPr>
        <w:spacing w:line="360" w:lineRule="auto"/>
        <w:ind w:firstLine="720"/>
        <w:jc w:val="both"/>
        <w:rPr>
          <w:rFonts w:ascii="Times New Roman" w:hAnsi="Times New Roman" w:cs="Times New Roman"/>
          <w:sz w:val="24"/>
          <w:szCs w:val="24"/>
        </w:rPr>
      </w:pPr>
      <w:r w:rsidRPr="00401E29">
        <w:rPr>
          <w:rFonts w:ascii="Times New Roman" w:hAnsi="Times New Roman" w:cs="Times New Roman"/>
          <w:sz w:val="24"/>
          <w:szCs w:val="24"/>
        </w:rPr>
        <w:t xml:space="preserve">TCPA appreciates the </w:t>
      </w:r>
      <w:r w:rsidR="00D01674">
        <w:rPr>
          <w:rFonts w:ascii="Times New Roman" w:hAnsi="Times New Roman" w:cs="Times New Roman"/>
          <w:sz w:val="24"/>
          <w:szCs w:val="24"/>
        </w:rPr>
        <w:t xml:space="preserve">opportunity to comment on the </w:t>
      </w:r>
      <w:r w:rsidRPr="00401E29">
        <w:rPr>
          <w:rFonts w:ascii="Times New Roman" w:hAnsi="Times New Roman" w:cs="Times New Roman"/>
          <w:sz w:val="24"/>
          <w:szCs w:val="24"/>
        </w:rPr>
        <w:t>Commission</w:t>
      </w:r>
      <w:r w:rsidR="00D01674">
        <w:rPr>
          <w:rFonts w:ascii="Times New Roman" w:hAnsi="Times New Roman" w:cs="Times New Roman"/>
          <w:sz w:val="24"/>
          <w:szCs w:val="24"/>
        </w:rPr>
        <w:t>’s</w:t>
      </w:r>
      <w:r w:rsidRPr="00401E29">
        <w:rPr>
          <w:rFonts w:ascii="Times New Roman" w:hAnsi="Times New Roman" w:cs="Times New Roman"/>
          <w:sz w:val="24"/>
          <w:szCs w:val="24"/>
        </w:rPr>
        <w:t xml:space="preserve"> </w:t>
      </w:r>
      <w:r w:rsidR="00D01674">
        <w:rPr>
          <w:rFonts w:ascii="Times New Roman" w:hAnsi="Times New Roman" w:cs="Times New Roman"/>
          <w:sz w:val="24"/>
          <w:szCs w:val="24"/>
        </w:rPr>
        <w:t xml:space="preserve">rule proposal regarding the </w:t>
      </w:r>
      <w:r w:rsidRPr="00401E29">
        <w:rPr>
          <w:rFonts w:ascii="Times New Roman" w:hAnsi="Times New Roman" w:cs="Times New Roman"/>
          <w:sz w:val="24"/>
          <w:szCs w:val="24"/>
        </w:rPr>
        <w:t>Low System-Wide Offer Cap (LCAP). </w:t>
      </w:r>
      <w:r w:rsidR="003A3E32">
        <w:rPr>
          <w:rFonts w:ascii="Times New Roman" w:hAnsi="Times New Roman" w:cs="Times New Roman"/>
          <w:sz w:val="24"/>
          <w:szCs w:val="24"/>
        </w:rPr>
        <w:t>TCPA particularly appreciates</w:t>
      </w:r>
      <w:r w:rsidR="00EC5428">
        <w:rPr>
          <w:rFonts w:ascii="Times New Roman" w:hAnsi="Times New Roman" w:cs="Times New Roman"/>
          <w:sz w:val="24"/>
          <w:szCs w:val="24"/>
        </w:rPr>
        <w:t xml:space="preserve"> the</w:t>
      </w:r>
      <w:r w:rsidR="003A3E32">
        <w:rPr>
          <w:rFonts w:ascii="Times New Roman" w:hAnsi="Times New Roman" w:cs="Times New Roman"/>
          <w:sz w:val="24"/>
          <w:szCs w:val="24"/>
        </w:rPr>
        <w:t xml:space="preserve"> Commission’s stated intent that the instant proposal is a targeted first step in reviewing wholesale market design elements but not the end of a broader conversation on the topic</w:t>
      </w:r>
      <w:r w:rsidR="003A3E32" w:rsidRPr="00401E29">
        <w:rPr>
          <w:rFonts w:ascii="Times New Roman" w:hAnsi="Times New Roman" w:cs="Times New Roman"/>
          <w:sz w:val="24"/>
          <w:szCs w:val="24"/>
        </w:rPr>
        <w:t>.</w:t>
      </w:r>
      <w:r w:rsidRPr="00401E29">
        <w:rPr>
          <w:rFonts w:ascii="Times New Roman" w:hAnsi="Times New Roman" w:cs="Times New Roman"/>
          <w:sz w:val="24"/>
          <w:szCs w:val="24"/>
        </w:rPr>
        <w:t xml:space="preserve"> </w:t>
      </w:r>
      <w:r w:rsidR="003A3E32">
        <w:rPr>
          <w:rFonts w:ascii="Times New Roman" w:hAnsi="Times New Roman" w:cs="Times New Roman"/>
          <w:sz w:val="24"/>
          <w:szCs w:val="24"/>
        </w:rPr>
        <w:t>As noted in TCPA’s initial informal comments in this project, t</w:t>
      </w:r>
      <w:r w:rsidRPr="00401E29">
        <w:rPr>
          <w:rFonts w:ascii="Times New Roman" w:hAnsi="Times New Roman" w:cs="Times New Roman"/>
          <w:sz w:val="24"/>
          <w:szCs w:val="24"/>
        </w:rPr>
        <w:t xml:space="preserve">he winter storm highlighted many aspects of the Texas electricity and natural gas markets </w:t>
      </w:r>
      <w:r w:rsidR="000D6B96">
        <w:rPr>
          <w:rFonts w:ascii="Times New Roman" w:hAnsi="Times New Roman" w:cs="Times New Roman"/>
          <w:sz w:val="24"/>
          <w:szCs w:val="24"/>
        </w:rPr>
        <w:t xml:space="preserve">that </w:t>
      </w:r>
      <w:r w:rsidRPr="00401E29">
        <w:rPr>
          <w:rFonts w:ascii="Times New Roman" w:hAnsi="Times New Roman" w:cs="Times New Roman"/>
          <w:sz w:val="24"/>
          <w:szCs w:val="24"/>
        </w:rPr>
        <w:t>operated as implemented</w:t>
      </w:r>
      <w:r w:rsidR="00EC5428">
        <w:rPr>
          <w:rFonts w:ascii="Times New Roman" w:hAnsi="Times New Roman" w:cs="Times New Roman"/>
          <w:sz w:val="24"/>
          <w:szCs w:val="24"/>
        </w:rPr>
        <w:t>,</w:t>
      </w:r>
      <w:r w:rsidRPr="00401E29">
        <w:rPr>
          <w:rFonts w:ascii="Times New Roman" w:hAnsi="Times New Roman" w:cs="Times New Roman"/>
          <w:sz w:val="24"/>
          <w:szCs w:val="24"/>
        </w:rPr>
        <w:t xml:space="preserve"> but not as some expected.  TCPA </w:t>
      </w:r>
      <w:r w:rsidR="003A3E32">
        <w:rPr>
          <w:rFonts w:ascii="Times New Roman" w:hAnsi="Times New Roman" w:cs="Times New Roman"/>
          <w:sz w:val="24"/>
          <w:szCs w:val="24"/>
        </w:rPr>
        <w:t xml:space="preserve">continues to support </w:t>
      </w:r>
      <w:r w:rsidRPr="00401E29">
        <w:rPr>
          <w:rFonts w:ascii="Times New Roman" w:hAnsi="Times New Roman" w:cs="Times New Roman"/>
          <w:sz w:val="24"/>
          <w:szCs w:val="24"/>
        </w:rPr>
        <w:t xml:space="preserve">a thoughtful </w:t>
      </w:r>
      <w:r w:rsidR="003A3E32">
        <w:rPr>
          <w:rFonts w:ascii="Times New Roman" w:hAnsi="Times New Roman" w:cs="Times New Roman"/>
          <w:sz w:val="24"/>
          <w:szCs w:val="24"/>
        </w:rPr>
        <w:t xml:space="preserve">and holistic </w:t>
      </w:r>
      <w:r w:rsidRPr="00401E29">
        <w:rPr>
          <w:rFonts w:ascii="Times New Roman" w:hAnsi="Times New Roman" w:cs="Times New Roman"/>
          <w:sz w:val="24"/>
          <w:szCs w:val="24"/>
        </w:rPr>
        <w:t xml:space="preserve">review of </w:t>
      </w:r>
      <w:r w:rsidR="003A3E32">
        <w:rPr>
          <w:rFonts w:ascii="Times New Roman" w:hAnsi="Times New Roman" w:cs="Times New Roman"/>
          <w:sz w:val="24"/>
          <w:szCs w:val="24"/>
        </w:rPr>
        <w:t xml:space="preserve">wholesale market design elements, including </w:t>
      </w:r>
      <w:r w:rsidRPr="00401E29">
        <w:rPr>
          <w:rFonts w:ascii="Times New Roman" w:hAnsi="Times New Roman" w:cs="Times New Roman"/>
          <w:sz w:val="24"/>
          <w:szCs w:val="24"/>
        </w:rPr>
        <w:t xml:space="preserve">the Peaker Net Margin </w:t>
      </w:r>
      <w:r w:rsidR="003A3E32">
        <w:rPr>
          <w:rFonts w:ascii="Times New Roman" w:hAnsi="Times New Roman" w:cs="Times New Roman"/>
          <w:sz w:val="24"/>
          <w:szCs w:val="24"/>
        </w:rPr>
        <w:t xml:space="preserve">(PNM) </w:t>
      </w:r>
      <w:r w:rsidRPr="00401E29">
        <w:rPr>
          <w:rFonts w:ascii="Times New Roman" w:hAnsi="Times New Roman" w:cs="Times New Roman"/>
          <w:sz w:val="24"/>
          <w:szCs w:val="24"/>
        </w:rPr>
        <w:t>and LCAP construct</w:t>
      </w:r>
      <w:r w:rsidR="00532F26">
        <w:rPr>
          <w:rFonts w:ascii="Times New Roman" w:hAnsi="Times New Roman" w:cs="Times New Roman"/>
          <w:sz w:val="24"/>
          <w:szCs w:val="24"/>
        </w:rPr>
        <w:t>.</w:t>
      </w:r>
      <w:r w:rsidRPr="00401E29">
        <w:rPr>
          <w:rFonts w:ascii="Times New Roman" w:hAnsi="Times New Roman" w:cs="Times New Roman"/>
          <w:sz w:val="24"/>
          <w:szCs w:val="24"/>
        </w:rPr>
        <w:t xml:space="preserve"> </w:t>
      </w:r>
      <w:r w:rsidR="00280A0C">
        <w:rPr>
          <w:rFonts w:ascii="Times New Roman" w:hAnsi="Times New Roman" w:cs="Times New Roman"/>
          <w:sz w:val="24"/>
          <w:szCs w:val="24"/>
        </w:rPr>
        <w:t xml:space="preserve">As such, TCPA reserves the right to </w:t>
      </w:r>
      <w:r w:rsidR="006C575D">
        <w:rPr>
          <w:rFonts w:ascii="Times New Roman" w:hAnsi="Times New Roman" w:cs="Times New Roman"/>
          <w:sz w:val="24"/>
          <w:szCs w:val="24"/>
        </w:rPr>
        <w:t>take different position(s) in future rulemakings that address these market parameters.</w:t>
      </w:r>
    </w:p>
    <w:p w14:paraId="624CBFC5" w14:textId="5C24C3EA" w:rsidR="00721E28" w:rsidRDefault="00721E28" w:rsidP="00D83553">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TCPA offers </w:t>
      </w:r>
      <w:r w:rsidR="003E24B4">
        <w:rPr>
          <w:rFonts w:ascii="Times New Roman" w:hAnsi="Times New Roman" w:cs="Times New Roman"/>
          <w:sz w:val="24"/>
          <w:szCs w:val="24"/>
        </w:rPr>
        <w:t>two general comments</w:t>
      </w:r>
      <w:r w:rsidR="00846FA6">
        <w:rPr>
          <w:rFonts w:ascii="Times New Roman" w:hAnsi="Times New Roman" w:cs="Times New Roman"/>
          <w:sz w:val="24"/>
          <w:szCs w:val="24"/>
        </w:rPr>
        <w:t>: (1)</w:t>
      </w:r>
      <w:r w:rsidR="0005734B">
        <w:rPr>
          <w:rFonts w:ascii="Times New Roman" w:hAnsi="Times New Roman" w:cs="Times New Roman"/>
          <w:sz w:val="24"/>
          <w:szCs w:val="24"/>
        </w:rPr>
        <w:t xml:space="preserve"> </w:t>
      </w:r>
      <w:r w:rsidR="008C059E">
        <w:rPr>
          <w:rFonts w:ascii="Times New Roman" w:hAnsi="Times New Roman" w:cs="Times New Roman"/>
          <w:sz w:val="24"/>
          <w:szCs w:val="24"/>
        </w:rPr>
        <w:t xml:space="preserve">as part of the holistic review, </w:t>
      </w:r>
      <w:r w:rsidR="0005734B">
        <w:rPr>
          <w:rFonts w:ascii="Times New Roman" w:hAnsi="Times New Roman" w:cs="Times New Roman"/>
          <w:sz w:val="24"/>
          <w:szCs w:val="24"/>
        </w:rPr>
        <w:t xml:space="preserve">recovery of costs </w:t>
      </w:r>
      <w:proofErr w:type="gramStart"/>
      <w:r w:rsidR="0005734B">
        <w:rPr>
          <w:rFonts w:ascii="Times New Roman" w:hAnsi="Times New Roman" w:cs="Times New Roman"/>
          <w:sz w:val="24"/>
          <w:szCs w:val="24"/>
        </w:rPr>
        <w:t>in excess of</w:t>
      </w:r>
      <w:proofErr w:type="gramEnd"/>
      <w:r w:rsidR="0005734B">
        <w:rPr>
          <w:rFonts w:ascii="Times New Roman" w:hAnsi="Times New Roman" w:cs="Times New Roman"/>
          <w:sz w:val="24"/>
          <w:szCs w:val="24"/>
        </w:rPr>
        <w:t xml:space="preserve"> market </w:t>
      </w:r>
      <w:r w:rsidR="00EC5428">
        <w:rPr>
          <w:rFonts w:ascii="Times New Roman" w:hAnsi="Times New Roman" w:cs="Times New Roman"/>
          <w:sz w:val="24"/>
          <w:szCs w:val="24"/>
        </w:rPr>
        <w:t xml:space="preserve">revenues </w:t>
      </w:r>
      <w:r w:rsidR="0005734B">
        <w:rPr>
          <w:rFonts w:ascii="Times New Roman" w:hAnsi="Times New Roman" w:cs="Times New Roman"/>
          <w:sz w:val="24"/>
          <w:szCs w:val="24"/>
        </w:rPr>
        <w:t>should not be strictly limited to LCAP periods or to marginal costs</w:t>
      </w:r>
      <w:r w:rsidR="00846FA6">
        <w:rPr>
          <w:rFonts w:ascii="Times New Roman" w:hAnsi="Times New Roman" w:cs="Times New Roman"/>
          <w:sz w:val="24"/>
          <w:szCs w:val="24"/>
        </w:rPr>
        <w:t xml:space="preserve">; and (2) </w:t>
      </w:r>
      <w:r w:rsidR="0092714C">
        <w:rPr>
          <w:rFonts w:ascii="Times New Roman" w:hAnsi="Times New Roman" w:cs="Times New Roman"/>
          <w:sz w:val="24"/>
          <w:szCs w:val="24"/>
        </w:rPr>
        <w:t xml:space="preserve">LCAP </w:t>
      </w:r>
      <w:r w:rsidR="00851F88">
        <w:rPr>
          <w:rFonts w:ascii="Times New Roman" w:hAnsi="Times New Roman" w:cs="Times New Roman"/>
          <w:sz w:val="24"/>
          <w:szCs w:val="24"/>
        </w:rPr>
        <w:t>c</w:t>
      </w:r>
      <w:r w:rsidR="0092714C">
        <w:rPr>
          <w:rFonts w:ascii="Times New Roman" w:hAnsi="Times New Roman" w:cs="Times New Roman"/>
          <w:sz w:val="24"/>
          <w:szCs w:val="24"/>
        </w:rPr>
        <w:t>ould continue to reflect natural gas index prices</w:t>
      </w:r>
      <w:r w:rsidR="00846FA6">
        <w:rPr>
          <w:rFonts w:ascii="Times New Roman" w:hAnsi="Times New Roman" w:cs="Times New Roman"/>
          <w:sz w:val="24"/>
          <w:szCs w:val="24"/>
        </w:rPr>
        <w:t xml:space="preserve">. </w:t>
      </w:r>
    </w:p>
    <w:p w14:paraId="09B96D7B" w14:textId="3C41CAE8" w:rsidR="00846FA6" w:rsidRPr="00846FA6" w:rsidRDefault="00846FA6" w:rsidP="00846FA6">
      <w:pPr>
        <w:pStyle w:val="ListParagraph"/>
        <w:numPr>
          <w:ilvl w:val="0"/>
          <w:numId w:val="22"/>
        </w:numPr>
        <w:spacing w:line="360" w:lineRule="auto"/>
        <w:jc w:val="both"/>
        <w:rPr>
          <w:rFonts w:ascii="Times New Roman" w:hAnsi="Times New Roman" w:cs="Times New Roman"/>
          <w:b/>
          <w:sz w:val="24"/>
          <w:szCs w:val="24"/>
        </w:rPr>
      </w:pPr>
      <w:r w:rsidRPr="00846FA6">
        <w:rPr>
          <w:rFonts w:ascii="Times New Roman" w:hAnsi="Times New Roman" w:cs="Times New Roman"/>
          <w:b/>
          <w:sz w:val="24"/>
          <w:szCs w:val="24"/>
        </w:rPr>
        <w:lastRenderedPageBreak/>
        <w:t xml:space="preserve">Recovery of costs </w:t>
      </w:r>
      <w:proofErr w:type="gramStart"/>
      <w:r w:rsidRPr="00846FA6">
        <w:rPr>
          <w:rFonts w:ascii="Times New Roman" w:hAnsi="Times New Roman" w:cs="Times New Roman"/>
          <w:b/>
          <w:sz w:val="24"/>
          <w:szCs w:val="24"/>
        </w:rPr>
        <w:t>in excess of</w:t>
      </w:r>
      <w:proofErr w:type="gramEnd"/>
      <w:r w:rsidRPr="00846FA6">
        <w:rPr>
          <w:rFonts w:ascii="Times New Roman" w:hAnsi="Times New Roman" w:cs="Times New Roman"/>
          <w:b/>
          <w:sz w:val="24"/>
          <w:szCs w:val="24"/>
        </w:rPr>
        <w:t xml:space="preserve"> market </w:t>
      </w:r>
      <w:r w:rsidR="00EC5428">
        <w:rPr>
          <w:rFonts w:ascii="Times New Roman" w:hAnsi="Times New Roman" w:cs="Times New Roman"/>
          <w:b/>
          <w:sz w:val="24"/>
          <w:szCs w:val="24"/>
        </w:rPr>
        <w:t>revenues</w:t>
      </w:r>
      <w:r w:rsidR="00EC5428" w:rsidRPr="00846FA6">
        <w:rPr>
          <w:rFonts w:ascii="Times New Roman" w:hAnsi="Times New Roman" w:cs="Times New Roman"/>
          <w:b/>
          <w:sz w:val="24"/>
          <w:szCs w:val="24"/>
        </w:rPr>
        <w:t xml:space="preserve"> </w:t>
      </w:r>
      <w:r w:rsidRPr="00846FA6">
        <w:rPr>
          <w:rFonts w:ascii="Times New Roman" w:hAnsi="Times New Roman" w:cs="Times New Roman"/>
          <w:b/>
          <w:sz w:val="24"/>
          <w:szCs w:val="24"/>
        </w:rPr>
        <w:t>should not be strictly limited</w:t>
      </w:r>
      <w:r>
        <w:rPr>
          <w:rFonts w:ascii="Times New Roman" w:hAnsi="Times New Roman" w:cs="Times New Roman"/>
          <w:b/>
          <w:sz w:val="24"/>
          <w:szCs w:val="24"/>
        </w:rPr>
        <w:t xml:space="preserve"> to LCAP periods or to marginal costs</w:t>
      </w:r>
      <w:r w:rsidRPr="00846FA6">
        <w:rPr>
          <w:rFonts w:ascii="Times New Roman" w:hAnsi="Times New Roman" w:cs="Times New Roman"/>
          <w:b/>
          <w:sz w:val="24"/>
          <w:szCs w:val="24"/>
        </w:rPr>
        <w:t>.</w:t>
      </w:r>
    </w:p>
    <w:p w14:paraId="7D8BE566" w14:textId="21810437" w:rsidR="00E57065" w:rsidRDefault="0005734B" w:rsidP="00846FA6">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TCPA appreciates the Commission’s recognition </w:t>
      </w:r>
      <w:r w:rsidR="007628FC">
        <w:rPr>
          <w:rFonts w:ascii="Times New Roman" w:hAnsi="Times New Roman" w:cs="Times New Roman"/>
          <w:sz w:val="24"/>
          <w:szCs w:val="24"/>
        </w:rPr>
        <w:t xml:space="preserve">in this proposed rule </w:t>
      </w:r>
      <w:r>
        <w:rPr>
          <w:rFonts w:ascii="Times New Roman" w:hAnsi="Times New Roman" w:cs="Times New Roman"/>
          <w:sz w:val="24"/>
          <w:szCs w:val="24"/>
        </w:rPr>
        <w:t xml:space="preserve">of the need to avoid a market design that could result in </w:t>
      </w:r>
      <w:r w:rsidR="00FA3451">
        <w:rPr>
          <w:rFonts w:ascii="Times New Roman" w:hAnsi="Times New Roman" w:cs="Times New Roman"/>
          <w:sz w:val="24"/>
          <w:szCs w:val="24"/>
        </w:rPr>
        <w:t>perverse incentives during extraordinary conditions</w:t>
      </w:r>
      <w:r w:rsidR="00E52909">
        <w:rPr>
          <w:rFonts w:ascii="Times New Roman" w:hAnsi="Times New Roman" w:cs="Times New Roman"/>
          <w:sz w:val="24"/>
          <w:szCs w:val="24"/>
        </w:rPr>
        <w:t>, and conceptually supports the inclusion of proposed 16 Texas Admin. Code (TAC) § 25.505(g)(7)</w:t>
      </w:r>
      <w:r w:rsidR="00356254">
        <w:rPr>
          <w:rFonts w:ascii="Times New Roman" w:hAnsi="Times New Roman" w:cs="Times New Roman"/>
          <w:sz w:val="24"/>
          <w:szCs w:val="24"/>
        </w:rPr>
        <w:t>.</w:t>
      </w:r>
      <w:r w:rsidR="00E52909">
        <w:rPr>
          <w:rFonts w:ascii="Times New Roman" w:hAnsi="Times New Roman" w:cs="Times New Roman"/>
          <w:sz w:val="24"/>
          <w:szCs w:val="24"/>
        </w:rPr>
        <w:t xml:space="preserve"> </w:t>
      </w:r>
      <w:r w:rsidR="00356254">
        <w:rPr>
          <w:rFonts w:ascii="Times New Roman" w:hAnsi="Times New Roman" w:cs="Times New Roman"/>
          <w:sz w:val="24"/>
          <w:szCs w:val="24"/>
        </w:rPr>
        <w:t xml:space="preserve"> </w:t>
      </w:r>
      <w:r w:rsidR="00FA3451">
        <w:rPr>
          <w:rFonts w:ascii="Times New Roman" w:hAnsi="Times New Roman" w:cs="Times New Roman"/>
          <w:sz w:val="24"/>
          <w:szCs w:val="24"/>
        </w:rPr>
        <w:t>One of the most profound lessons of Winter Storm Uri is that weather events that threaten the natural gas system can also threaten Texas’ generation fleet – just as demand for both products is growing rapidly.</w:t>
      </w:r>
      <w:r w:rsidR="00E57065">
        <w:rPr>
          <w:rFonts w:ascii="Times New Roman" w:hAnsi="Times New Roman" w:cs="Times New Roman"/>
          <w:sz w:val="24"/>
          <w:szCs w:val="24"/>
        </w:rPr>
        <w:t xml:space="preserve"> This dynamic can lead to extraordinary fuel </w:t>
      </w:r>
      <w:r w:rsidR="009F5F8A">
        <w:rPr>
          <w:rFonts w:ascii="Times New Roman" w:hAnsi="Times New Roman" w:cs="Times New Roman"/>
          <w:sz w:val="24"/>
          <w:szCs w:val="24"/>
        </w:rPr>
        <w:t xml:space="preserve">and fuel delivery </w:t>
      </w:r>
      <w:r w:rsidR="00E57065">
        <w:rPr>
          <w:rFonts w:ascii="Times New Roman" w:hAnsi="Times New Roman" w:cs="Times New Roman"/>
          <w:sz w:val="24"/>
          <w:szCs w:val="24"/>
        </w:rPr>
        <w:t>costs</w:t>
      </w:r>
      <w:r w:rsidR="00AF77A2">
        <w:rPr>
          <w:rFonts w:ascii="Times New Roman" w:hAnsi="Times New Roman" w:cs="Times New Roman"/>
          <w:sz w:val="24"/>
          <w:szCs w:val="24"/>
        </w:rPr>
        <w:t xml:space="preserve">, </w:t>
      </w:r>
      <w:r w:rsidR="009F5F8A">
        <w:rPr>
          <w:rFonts w:ascii="Times New Roman" w:hAnsi="Times New Roman" w:cs="Times New Roman"/>
          <w:sz w:val="24"/>
          <w:szCs w:val="24"/>
        </w:rPr>
        <w:t xml:space="preserve">as well as </w:t>
      </w:r>
      <w:r w:rsidR="00E57065">
        <w:rPr>
          <w:rFonts w:ascii="Times New Roman" w:hAnsi="Times New Roman" w:cs="Times New Roman"/>
          <w:sz w:val="24"/>
          <w:szCs w:val="24"/>
        </w:rPr>
        <w:t xml:space="preserve">scarcity </w:t>
      </w:r>
      <w:r w:rsidR="009F5F8A">
        <w:rPr>
          <w:rFonts w:ascii="Times New Roman" w:hAnsi="Times New Roman" w:cs="Times New Roman"/>
          <w:sz w:val="24"/>
          <w:szCs w:val="24"/>
        </w:rPr>
        <w:t xml:space="preserve">pricing </w:t>
      </w:r>
      <w:r w:rsidR="00E57065">
        <w:rPr>
          <w:rFonts w:ascii="Times New Roman" w:hAnsi="Times New Roman" w:cs="Times New Roman"/>
          <w:sz w:val="24"/>
          <w:szCs w:val="24"/>
        </w:rPr>
        <w:t xml:space="preserve">signals in the ERCOT wholesale electricity market. </w:t>
      </w:r>
      <w:r w:rsidR="00E52909">
        <w:rPr>
          <w:rFonts w:ascii="Times New Roman" w:hAnsi="Times New Roman" w:cs="Times New Roman"/>
          <w:sz w:val="24"/>
          <w:szCs w:val="24"/>
        </w:rPr>
        <w:t xml:space="preserve">In such extreme circumstances, generators’ costs </w:t>
      </w:r>
      <w:r w:rsidR="0092714C">
        <w:rPr>
          <w:rFonts w:ascii="Times New Roman" w:hAnsi="Times New Roman" w:cs="Times New Roman"/>
          <w:sz w:val="24"/>
          <w:szCs w:val="24"/>
        </w:rPr>
        <w:t xml:space="preserve">may </w:t>
      </w:r>
      <w:r w:rsidR="00E52909">
        <w:rPr>
          <w:rFonts w:ascii="Times New Roman" w:hAnsi="Times New Roman" w:cs="Times New Roman"/>
          <w:sz w:val="24"/>
          <w:szCs w:val="24"/>
        </w:rPr>
        <w:t>exceed the wholesale electricity price caps, so the proposal to help keep generators whole for continuing to produce energy in such scenarios is a good policy that supports the public interest. TCPA offers a few suggestions in support of this policy objective below for the Commission’s consideration.</w:t>
      </w:r>
    </w:p>
    <w:p w14:paraId="102CA4BA" w14:textId="6E3C499B" w:rsidR="00E82BA9" w:rsidRPr="00846FA6" w:rsidRDefault="00AF77A2" w:rsidP="00E82BA9">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ab/>
      </w:r>
      <w:r w:rsidR="00E52909">
        <w:rPr>
          <w:rFonts w:ascii="Times New Roman" w:hAnsi="Times New Roman" w:cs="Times New Roman"/>
          <w:sz w:val="24"/>
          <w:szCs w:val="24"/>
        </w:rPr>
        <w:t xml:space="preserve">First, the risk is not limited to when the LCAP is in effect. </w:t>
      </w:r>
      <w:r>
        <w:rPr>
          <w:rFonts w:ascii="Times New Roman" w:hAnsi="Times New Roman" w:cs="Times New Roman"/>
          <w:sz w:val="24"/>
          <w:szCs w:val="24"/>
        </w:rPr>
        <w:t xml:space="preserve">Numerous public reports chronicle the </w:t>
      </w:r>
      <w:proofErr w:type="gramStart"/>
      <w:r>
        <w:rPr>
          <w:rFonts w:ascii="Times New Roman" w:hAnsi="Times New Roman" w:cs="Times New Roman"/>
          <w:sz w:val="24"/>
          <w:szCs w:val="24"/>
        </w:rPr>
        <w:t xml:space="preserve">extraordinary </w:t>
      </w:r>
      <w:r w:rsidR="00337792">
        <w:rPr>
          <w:rFonts w:ascii="Times New Roman" w:hAnsi="Times New Roman" w:cs="Times New Roman"/>
          <w:sz w:val="24"/>
          <w:szCs w:val="24"/>
        </w:rPr>
        <w:t>delivered</w:t>
      </w:r>
      <w:proofErr w:type="gramEnd"/>
      <w:r w:rsidR="00337792">
        <w:rPr>
          <w:rFonts w:ascii="Times New Roman" w:hAnsi="Times New Roman" w:cs="Times New Roman"/>
          <w:sz w:val="24"/>
          <w:szCs w:val="24"/>
        </w:rPr>
        <w:t xml:space="preserve"> </w:t>
      </w:r>
      <w:r>
        <w:rPr>
          <w:rFonts w:ascii="Times New Roman" w:hAnsi="Times New Roman" w:cs="Times New Roman"/>
          <w:sz w:val="24"/>
          <w:szCs w:val="24"/>
        </w:rPr>
        <w:t xml:space="preserve">fuel costs </w:t>
      </w:r>
      <w:r w:rsidR="00337792">
        <w:rPr>
          <w:rFonts w:ascii="Times New Roman" w:hAnsi="Times New Roman" w:cs="Times New Roman"/>
          <w:sz w:val="24"/>
          <w:szCs w:val="24"/>
        </w:rPr>
        <w:t xml:space="preserve">for generators being </w:t>
      </w:r>
      <w:r>
        <w:rPr>
          <w:rFonts w:ascii="Times New Roman" w:hAnsi="Times New Roman" w:cs="Times New Roman"/>
          <w:sz w:val="24"/>
          <w:szCs w:val="24"/>
        </w:rPr>
        <w:t xml:space="preserve">borne during Winter Storm Uri, </w:t>
      </w:r>
      <w:r w:rsidR="00AB5488">
        <w:rPr>
          <w:rFonts w:ascii="Times New Roman" w:hAnsi="Times New Roman" w:cs="Times New Roman"/>
          <w:sz w:val="24"/>
          <w:szCs w:val="24"/>
        </w:rPr>
        <w:t>at least as high as $700/MMBtu</w:t>
      </w:r>
      <w:r w:rsidR="0092714C">
        <w:rPr>
          <w:rFonts w:ascii="Times New Roman" w:hAnsi="Times New Roman" w:cs="Times New Roman"/>
          <w:sz w:val="24"/>
          <w:szCs w:val="24"/>
        </w:rPr>
        <w:t xml:space="preserve"> in Texas</w:t>
      </w:r>
      <w:r w:rsidR="00851F88">
        <w:rPr>
          <w:rStyle w:val="FootnoteReference"/>
          <w:rFonts w:ascii="Times New Roman" w:hAnsi="Times New Roman" w:cs="Times New Roman"/>
          <w:sz w:val="24"/>
          <w:szCs w:val="24"/>
        </w:rPr>
        <w:footnoteReference w:id="1"/>
      </w:r>
      <w:r w:rsidR="0092714C">
        <w:rPr>
          <w:rFonts w:ascii="Times New Roman" w:hAnsi="Times New Roman" w:cs="Times New Roman"/>
          <w:sz w:val="24"/>
          <w:szCs w:val="24"/>
        </w:rPr>
        <w:t xml:space="preserve"> and over $1,000/MMBtu in the bordering Southwest Power Pool</w:t>
      </w:r>
      <w:r w:rsidR="00A005A6">
        <w:rPr>
          <w:rFonts w:ascii="Times New Roman" w:hAnsi="Times New Roman" w:cs="Times New Roman"/>
          <w:sz w:val="24"/>
          <w:szCs w:val="24"/>
        </w:rPr>
        <w:t>.</w:t>
      </w:r>
      <w:r w:rsidR="0092714C">
        <w:rPr>
          <w:rStyle w:val="FootnoteReference"/>
          <w:rFonts w:ascii="Times New Roman" w:hAnsi="Times New Roman" w:cs="Times New Roman"/>
          <w:sz w:val="24"/>
          <w:szCs w:val="24"/>
        </w:rPr>
        <w:footnoteReference w:id="2"/>
      </w:r>
      <w:r w:rsidR="00AB5488">
        <w:rPr>
          <w:rFonts w:ascii="Times New Roman" w:hAnsi="Times New Roman" w:cs="Times New Roman"/>
          <w:sz w:val="24"/>
          <w:szCs w:val="24"/>
        </w:rPr>
        <w:t xml:space="preserve"> Indeed, the high cost of natural gas during Winter Storm Uri is one of the primary motivators for the Commission in this rulemaking, given the 50 times Fuel Index Price (FIP) alternative calculation of the LCAP</w:t>
      </w:r>
      <w:r w:rsidR="00255149">
        <w:rPr>
          <w:rFonts w:ascii="Times New Roman" w:hAnsi="Times New Roman" w:cs="Times New Roman"/>
          <w:sz w:val="24"/>
          <w:szCs w:val="24"/>
        </w:rPr>
        <w:t xml:space="preserve"> under the current rule</w:t>
      </w:r>
      <w:r w:rsidR="007928F4">
        <w:rPr>
          <w:rFonts w:ascii="Times New Roman" w:hAnsi="Times New Roman" w:cs="Times New Roman"/>
          <w:sz w:val="24"/>
          <w:szCs w:val="24"/>
        </w:rPr>
        <w:t xml:space="preserve">. </w:t>
      </w:r>
      <w:r w:rsidR="00255149">
        <w:rPr>
          <w:rFonts w:ascii="Times New Roman" w:hAnsi="Times New Roman" w:cs="Times New Roman"/>
          <w:sz w:val="24"/>
          <w:szCs w:val="24"/>
        </w:rPr>
        <w:t xml:space="preserve">While TCPA does not hope for a repeat of Winter Storm Uri, it is now clear that natural gas prices can reach levels that might even result in fuel costs alone exceeding the High System Wide Offer Cap (HCAP) of $9,000 per MWh. As such, TCPA suggests that </w:t>
      </w:r>
      <w:r w:rsidR="008C059E">
        <w:rPr>
          <w:rFonts w:ascii="Times New Roman" w:hAnsi="Times New Roman" w:cs="Times New Roman"/>
          <w:sz w:val="24"/>
          <w:szCs w:val="24"/>
        </w:rPr>
        <w:t>as part of the holistic review of the PNM mechanism</w:t>
      </w:r>
      <w:r w:rsidR="00B74818">
        <w:rPr>
          <w:rFonts w:ascii="Times New Roman" w:hAnsi="Times New Roman" w:cs="Times New Roman"/>
          <w:sz w:val="24"/>
          <w:szCs w:val="24"/>
        </w:rPr>
        <w:t xml:space="preserve"> and ERCOT market design</w:t>
      </w:r>
      <w:r w:rsidR="008C059E">
        <w:rPr>
          <w:rFonts w:ascii="Times New Roman" w:hAnsi="Times New Roman" w:cs="Times New Roman"/>
          <w:sz w:val="24"/>
          <w:szCs w:val="24"/>
        </w:rPr>
        <w:t xml:space="preserve"> </w:t>
      </w:r>
      <w:r w:rsidR="00255149">
        <w:rPr>
          <w:rFonts w:ascii="Times New Roman" w:hAnsi="Times New Roman" w:cs="Times New Roman"/>
          <w:sz w:val="24"/>
          <w:szCs w:val="24"/>
        </w:rPr>
        <w:t>the Commission not limit proposed 16 Texas Admin. Code (TAC) § 25.505(g)(7) to only periods when the LCAP is in effect.</w:t>
      </w:r>
      <w:r w:rsidR="00C86395">
        <w:rPr>
          <w:rFonts w:ascii="Times New Roman" w:hAnsi="Times New Roman" w:cs="Times New Roman"/>
          <w:sz w:val="24"/>
          <w:szCs w:val="24"/>
        </w:rPr>
        <w:t xml:space="preserve"> </w:t>
      </w:r>
      <w:r w:rsidR="00E82BA9">
        <w:rPr>
          <w:rFonts w:ascii="Times New Roman" w:hAnsi="Times New Roman" w:cs="Times New Roman"/>
          <w:sz w:val="24"/>
          <w:szCs w:val="24"/>
        </w:rPr>
        <w:t xml:space="preserve"> TCPA understands the Commission’s desire to settle this rulemaking quickly in time for Summer 2021. As such, TCPA offers this recommendation for </w:t>
      </w:r>
      <w:r w:rsidR="00E82BA9">
        <w:rPr>
          <w:rFonts w:ascii="Times New Roman" w:hAnsi="Times New Roman" w:cs="Times New Roman"/>
          <w:sz w:val="24"/>
          <w:szCs w:val="24"/>
        </w:rPr>
        <w:lastRenderedPageBreak/>
        <w:t xml:space="preserve">consideration in anticipation of a broader, more holistic review of </w:t>
      </w:r>
      <w:r w:rsidR="00E82BA9" w:rsidRPr="00401E29">
        <w:rPr>
          <w:rFonts w:ascii="Times New Roman" w:hAnsi="Times New Roman" w:cs="Times New Roman"/>
          <w:sz w:val="24"/>
          <w:szCs w:val="24"/>
        </w:rPr>
        <w:t xml:space="preserve">review of </w:t>
      </w:r>
      <w:r w:rsidR="00E82BA9">
        <w:rPr>
          <w:rFonts w:ascii="Times New Roman" w:hAnsi="Times New Roman" w:cs="Times New Roman"/>
          <w:sz w:val="24"/>
          <w:szCs w:val="24"/>
        </w:rPr>
        <w:t>wholesale market design elements.</w:t>
      </w:r>
    </w:p>
    <w:p w14:paraId="381F225E" w14:textId="44847D11" w:rsidR="00132E4D" w:rsidRDefault="001E65A8" w:rsidP="00132E4D">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Similarly, i</w:t>
      </w:r>
      <w:r w:rsidR="00E57065">
        <w:rPr>
          <w:rFonts w:ascii="Times New Roman" w:hAnsi="Times New Roman" w:cs="Times New Roman"/>
          <w:sz w:val="24"/>
          <w:szCs w:val="24"/>
        </w:rPr>
        <w:t xml:space="preserve">n </w:t>
      </w:r>
      <w:r>
        <w:rPr>
          <w:rFonts w:ascii="Times New Roman" w:hAnsi="Times New Roman" w:cs="Times New Roman"/>
          <w:sz w:val="24"/>
          <w:szCs w:val="24"/>
        </w:rPr>
        <w:t xml:space="preserve">extreme operating </w:t>
      </w:r>
      <w:r w:rsidR="00E57065">
        <w:rPr>
          <w:rFonts w:ascii="Times New Roman" w:hAnsi="Times New Roman" w:cs="Times New Roman"/>
          <w:sz w:val="24"/>
          <w:szCs w:val="24"/>
        </w:rPr>
        <w:t xml:space="preserve">events generators </w:t>
      </w:r>
      <w:r w:rsidR="0092714C">
        <w:rPr>
          <w:rFonts w:ascii="Times New Roman" w:hAnsi="Times New Roman" w:cs="Times New Roman"/>
          <w:sz w:val="24"/>
          <w:szCs w:val="24"/>
        </w:rPr>
        <w:t>regularly</w:t>
      </w:r>
      <w:r w:rsidR="00E57065">
        <w:rPr>
          <w:rFonts w:ascii="Times New Roman" w:hAnsi="Times New Roman" w:cs="Times New Roman"/>
          <w:sz w:val="24"/>
          <w:szCs w:val="24"/>
        </w:rPr>
        <w:t xml:space="preserve"> incur additional</w:t>
      </w:r>
      <w:r w:rsidR="00980892">
        <w:rPr>
          <w:rFonts w:ascii="Times New Roman" w:hAnsi="Times New Roman" w:cs="Times New Roman"/>
          <w:sz w:val="24"/>
          <w:szCs w:val="24"/>
        </w:rPr>
        <w:t xml:space="preserve"> operating</w:t>
      </w:r>
      <w:r w:rsidR="00E57065">
        <w:rPr>
          <w:rFonts w:ascii="Times New Roman" w:hAnsi="Times New Roman" w:cs="Times New Roman"/>
          <w:sz w:val="24"/>
          <w:szCs w:val="24"/>
        </w:rPr>
        <w:t xml:space="preserve"> expenses that may not be strictly considered </w:t>
      </w:r>
      <w:r>
        <w:rPr>
          <w:rFonts w:ascii="Times New Roman" w:hAnsi="Times New Roman" w:cs="Times New Roman"/>
          <w:sz w:val="24"/>
          <w:szCs w:val="24"/>
        </w:rPr>
        <w:t>“marginal</w:t>
      </w:r>
      <w:r w:rsidR="00EC5428">
        <w:rPr>
          <w:rFonts w:ascii="Times New Roman" w:hAnsi="Times New Roman" w:cs="Times New Roman"/>
          <w:sz w:val="24"/>
          <w:szCs w:val="24"/>
        </w:rPr>
        <w:t xml:space="preserve"> costs</w:t>
      </w:r>
      <w:r>
        <w:rPr>
          <w:rFonts w:ascii="Times New Roman" w:hAnsi="Times New Roman" w:cs="Times New Roman"/>
          <w:sz w:val="24"/>
          <w:szCs w:val="24"/>
        </w:rPr>
        <w:t xml:space="preserve">” – such as </w:t>
      </w:r>
      <w:r w:rsidR="00C86395">
        <w:rPr>
          <w:rFonts w:ascii="Times New Roman" w:hAnsi="Times New Roman" w:cs="Times New Roman"/>
          <w:sz w:val="24"/>
          <w:szCs w:val="24"/>
        </w:rPr>
        <w:t xml:space="preserve">additional staffing, heating/cooling equipment, water treatment, chemical supplies, or backup fuel procurement. These </w:t>
      </w:r>
      <w:r w:rsidR="00980892">
        <w:rPr>
          <w:rFonts w:ascii="Times New Roman" w:hAnsi="Times New Roman" w:cs="Times New Roman"/>
          <w:sz w:val="24"/>
          <w:szCs w:val="24"/>
        </w:rPr>
        <w:t xml:space="preserve">operating </w:t>
      </w:r>
      <w:r w:rsidR="00C86395">
        <w:rPr>
          <w:rFonts w:ascii="Times New Roman" w:hAnsi="Times New Roman" w:cs="Times New Roman"/>
          <w:sz w:val="24"/>
          <w:szCs w:val="24"/>
        </w:rPr>
        <w:t xml:space="preserve">costs are real and taken in support of grid reliability, but with an expectation that the market will support those prudent decisions. However, ERCOT’s energy-only market design relies solely on </w:t>
      </w:r>
      <w:r w:rsidR="00DA45C5">
        <w:rPr>
          <w:rFonts w:ascii="Times New Roman" w:hAnsi="Times New Roman" w:cs="Times New Roman"/>
          <w:sz w:val="24"/>
          <w:szCs w:val="24"/>
        </w:rPr>
        <w:t xml:space="preserve">wholesale </w:t>
      </w:r>
      <w:r w:rsidR="00C86395">
        <w:rPr>
          <w:rFonts w:ascii="Times New Roman" w:hAnsi="Times New Roman" w:cs="Times New Roman"/>
          <w:sz w:val="24"/>
          <w:szCs w:val="24"/>
        </w:rPr>
        <w:t xml:space="preserve">energy </w:t>
      </w:r>
      <w:r w:rsidR="00EC5428">
        <w:rPr>
          <w:rFonts w:ascii="Times New Roman" w:hAnsi="Times New Roman" w:cs="Times New Roman"/>
          <w:sz w:val="24"/>
          <w:szCs w:val="24"/>
        </w:rPr>
        <w:t xml:space="preserve">revenues </w:t>
      </w:r>
      <w:r w:rsidR="00C86395">
        <w:rPr>
          <w:rFonts w:ascii="Times New Roman" w:hAnsi="Times New Roman" w:cs="Times New Roman"/>
          <w:sz w:val="24"/>
          <w:szCs w:val="24"/>
        </w:rPr>
        <w:t xml:space="preserve">to provide market support, and the wholesale price caps established as part of that market design </w:t>
      </w:r>
      <w:r w:rsidR="00DA45C5">
        <w:rPr>
          <w:rFonts w:ascii="Times New Roman" w:hAnsi="Times New Roman" w:cs="Times New Roman"/>
          <w:sz w:val="24"/>
          <w:szCs w:val="24"/>
        </w:rPr>
        <w:t xml:space="preserve">could in some extreme scenarios result in </w:t>
      </w:r>
      <w:r w:rsidR="00EC5428">
        <w:rPr>
          <w:rFonts w:ascii="Times New Roman" w:hAnsi="Times New Roman" w:cs="Times New Roman"/>
          <w:sz w:val="24"/>
          <w:szCs w:val="24"/>
        </w:rPr>
        <w:t>revenues</w:t>
      </w:r>
      <w:r w:rsidR="00DA45C5">
        <w:rPr>
          <w:rFonts w:ascii="Times New Roman" w:hAnsi="Times New Roman" w:cs="Times New Roman"/>
          <w:sz w:val="24"/>
          <w:szCs w:val="24"/>
        </w:rPr>
        <w:t xml:space="preserve"> falling short of costs. TCPA therefore requests that the Commission not limit proposed 16 TAC § 25.505(g)(7) to only covering “marginal costs” </w:t>
      </w:r>
      <w:r w:rsidR="00980892">
        <w:rPr>
          <w:rFonts w:ascii="Times New Roman" w:hAnsi="Times New Roman" w:cs="Times New Roman"/>
          <w:sz w:val="24"/>
          <w:szCs w:val="24"/>
        </w:rPr>
        <w:t>and instead use the more inclusive, but still reasonably limited, term “operating costs.”</w:t>
      </w:r>
    </w:p>
    <w:p w14:paraId="269262E3" w14:textId="29BED78F" w:rsidR="00DA45C5" w:rsidRDefault="00DA45C5" w:rsidP="00846FA6">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To be clear, TCPA is not suggesting that generators should have recourse to recover any costs at any time. Rather, the suggestion is solely to ensure that costs prudently incurred by generators to support reliability during </w:t>
      </w:r>
      <w:r w:rsidR="00132E4D">
        <w:rPr>
          <w:rFonts w:ascii="Times New Roman" w:hAnsi="Times New Roman" w:cs="Times New Roman"/>
          <w:sz w:val="24"/>
          <w:szCs w:val="24"/>
        </w:rPr>
        <w:t xml:space="preserve">periods of abnormal market conditions </w:t>
      </w:r>
      <w:r>
        <w:rPr>
          <w:rFonts w:ascii="Times New Roman" w:hAnsi="Times New Roman" w:cs="Times New Roman"/>
          <w:sz w:val="24"/>
          <w:szCs w:val="24"/>
        </w:rPr>
        <w:t xml:space="preserve">are not disincentivized by wholesale price caps. </w:t>
      </w:r>
      <w:r w:rsidR="00132E4D">
        <w:rPr>
          <w:rFonts w:ascii="Times New Roman" w:hAnsi="Times New Roman" w:cs="Times New Roman"/>
          <w:sz w:val="24"/>
          <w:szCs w:val="24"/>
        </w:rPr>
        <w:t xml:space="preserve">TCPA believes this is consistent with the Commission’s intent, as evidenced </w:t>
      </w:r>
      <w:proofErr w:type="gramStart"/>
      <w:r w:rsidR="00132E4D">
        <w:rPr>
          <w:rFonts w:ascii="Times New Roman" w:hAnsi="Times New Roman" w:cs="Times New Roman"/>
          <w:sz w:val="24"/>
          <w:szCs w:val="24"/>
        </w:rPr>
        <w:t>by the use of</w:t>
      </w:r>
      <w:proofErr w:type="gramEnd"/>
      <w:r w:rsidR="00132E4D">
        <w:rPr>
          <w:rFonts w:ascii="Times New Roman" w:hAnsi="Times New Roman" w:cs="Times New Roman"/>
          <w:sz w:val="24"/>
          <w:szCs w:val="24"/>
        </w:rPr>
        <w:t xml:space="preserve"> the limiting term “an event” in the proposed rule. These “events” can happen while HCAP or LCAP are in effect, and they could range in duration from a matter of hours to multiple days. TCPA </w:t>
      </w:r>
      <w:r w:rsidR="00980892">
        <w:rPr>
          <w:rFonts w:ascii="Times New Roman" w:hAnsi="Times New Roman" w:cs="Times New Roman"/>
          <w:sz w:val="24"/>
          <w:szCs w:val="24"/>
        </w:rPr>
        <w:t xml:space="preserve">believes </w:t>
      </w:r>
      <w:r w:rsidR="00132E4D">
        <w:rPr>
          <w:rFonts w:ascii="Times New Roman" w:hAnsi="Times New Roman" w:cs="Times New Roman"/>
          <w:sz w:val="24"/>
          <w:szCs w:val="24"/>
        </w:rPr>
        <w:t xml:space="preserve">the Commission </w:t>
      </w:r>
      <w:r w:rsidR="00980892">
        <w:rPr>
          <w:rFonts w:ascii="Times New Roman" w:hAnsi="Times New Roman" w:cs="Times New Roman"/>
          <w:sz w:val="24"/>
          <w:szCs w:val="24"/>
        </w:rPr>
        <w:t xml:space="preserve">can </w:t>
      </w:r>
      <w:r w:rsidR="00132E4D">
        <w:rPr>
          <w:rFonts w:ascii="Times New Roman" w:hAnsi="Times New Roman" w:cs="Times New Roman"/>
          <w:sz w:val="24"/>
          <w:szCs w:val="24"/>
        </w:rPr>
        <w:t xml:space="preserve">delegate to ERCOT </w:t>
      </w:r>
      <w:r w:rsidR="00980892">
        <w:rPr>
          <w:rFonts w:ascii="Times New Roman" w:hAnsi="Times New Roman" w:cs="Times New Roman"/>
          <w:sz w:val="24"/>
          <w:szCs w:val="24"/>
        </w:rPr>
        <w:t xml:space="preserve">stakeholders </w:t>
      </w:r>
      <w:r w:rsidR="00132E4D">
        <w:rPr>
          <w:rFonts w:ascii="Times New Roman" w:hAnsi="Times New Roman" w:cs="Times New Roman"/>
          <w:sz w:val="24"/>
          <w:szCs w:val="24"/>
        </w:rPr>
        <w:t xml:space="preserve">to further define what constitutes “an event,” but may wish to further modify the term to convey an expectation that the provision applies </w:t>
      </w:r>
      <w:r w:rsidR="00EC5428">
        <w:rPr>
          <w:rFonts w:ascii="Times New Roman" w:hAnsi="Times New Roman" w:cs="Times New Roman"/>
          <w:sz w:val="24"/>
          <w:szCs w:val="24"/>
        </w:rPr>
        <w:t xml:space="preserve">only in </w:t>
      </w:r>
      <w:r w:rsidR="00132E4D">
        <w:rPr>
          <w:rFonts w:ascii="Times New Roman" w:hAnsi="Times New Roman" w:cs="Times New Roman"/>
          <w:sz w:val="24"/>
          <w:szCs w:val="24"/>
        </w:rPr>
        <w:t xml:space="preserve">exceptional circumstances. </w:t>
      </w:r>
      <w:r w:rsidR="004372B4">
        <w:rPr>
          <w:rFonts w:ascii="Times New Roman" w:hAnsi="Times New Roman" w:cs="Times New Roman"/>
          <w:sz w:val="24"/>
          <w:szCs w:val="24"/>
        </w:rPr>
        <w:t xml:space="preserve">Accordingly, TCPA </w:t>
      </w:r>
      <w:r w:rsidR="00C62D22">
        <w:rPr>
          <w:rFonts w:ascii="Times New Roman" w:hAnsi="Times New Roman" w:cs="Times New Roman"/>
          <w:sz w:val="24"/>
          <w:szCs w:val="24"/>
        </w:rPr>
        <w:t>respectfully requests the Commission to consider the following modifications to proposed 16 TAC § 25.505(g)(7):</w:t>
      </w:r>
    </w:p>
    <w:p w14:paraId="65CAABA1" w14:textId="04DC5624" w:rsidR="00C62D22" w:rsidRPr="008E6C08" w:rsidRDefault="00C62D22" w:rsidP="00C62D22">
      <w:pPr>
        <w:spacing w:line="360" w:lineRule="auto"/>
        <w:ind w:left="720" w:hanging="720"/>
        <w:jc w:val="both"/>
        <w:rPr>
          <w:rFonts w:ascii="Times New Roman" w:hAnsi="Times New Roman" w:cs="Times New Roman"/>
          <w:sz w:val="24"/>
          <w:szCs w:val="24"/>
          <w:u w:val="single"/>
        </w:rPr>
      </w:pPr>
      <w:r w:rsidRPr="00C62D22">
        <w:rPr>
          <w:rFonts w:ascii="Times New Roman" w:hAnsi="Times New Roman" w:cs="Times New Roman"/>
          <w:sz w:val="24"/>
          <w:szCs w:val="24"/>
        </w:rPr>
        <w:t xml:space="preserve">(7) </w:t>
      </w:r>
      <w:r>
        <w:rPr>
          <w:rFonts w:ascii="Times New Roman" w:hAnsi="Times New Roman" w:cs="Times New Roman"/>
          <w:sz w:val="24"/>
          <w:szCs w:val="24"/>
        </w:rPr>
        <w:tab/>
      </w:r>
      <w:r w:rsidRPr="00C62D22">
        <w:rPr>
          <w:rFonts w:ascii="Times New Roman" w:hAnsi="Times New Roman" w:cs="Times New Roman"/>
          <w:b/>
          <w:sz w:val="24"/>
          <w:szCs w:val="24"/>
        </w:rPr>
        <w:t xml:space="preserve">Reimbursement for Operating Losses During an Event </w:t>
      </w:r>
      <w:r w:rsidRPr="00C90678">
        <w:rPr>
          <w:rFonts w:ascii="Times New Roman" w:hAnsi="Times New Roman" w:cs="Times New Roman"/>
          <w:b/>
          <w:sz w:val="24"/>
          <w:szCs w:val="24"/>
        </w:rPr>
        <w:t>when the LCAP is in Effect</w:t>
      </w:r>
      <w:r w:rsidRPr="00C62D22">
        <w:rPr>
          <w:rFonts w:ascii="Times New Roman" w:hAnsi="Times New Roman" w:cs="Times New Roman"/>
          <w:b/>
          <w:sz w:val="24"/>
          <w:szCs w:val="24"/>
        </w:rPr>
        <w:t>.</w:t>
      </w:r>
      <w:r w:rsidRPr="00C62D22">
        <w:rPr>
          <w:rFonts w:ascii="Times New Roman" w:hAnsi="Times New Roman" w:cs="Times New Roman"/>
          <w:sz w:val="24"/>
          <w:szCs w:val="24"/>
        </w:rPr>
        <w:t xml:space="preserve"> During an event when the system-wide offer cap is </w:t>
      </w:r>
      <w:r w:rsidRPr="00C90678">
        <w:rPr>
          <w:rFonts w:ascii="Times New Roman" w:hAnsi="Times New Roman" w:cs="Times New Roman"/>
          <w:sz w:val="24"/>
          <w:szCs w:val="24"/>
        </w:rPr>
        <w:t>set to the LCAP</w:t>
      </w:r>
      <w:r>
        <w:rPr>
          <w:rFonts w:ascii="Times New Roman" w:hAnsi="Times New Roman" w:cs="Times New Roman"/>
          <w:sz w:val="24"/>
          <w:szCs w:val="24"/>
        </w:rPr>
        <w:t>,</w:t>
      </w:r>
      <w:r w:rsidRPr="00C62D22">
        <w:rPr>
          <w:rFonts w:ascii="Times New Roman" w:hAnsi="Times New Roman" w:cs="Times New Roman"/>
          <w:sz w:val="24"/>
          <w:szCs w:val="24"/>
        </w:rPr>
        <w:t xml:space="preserve"> ERCOT must reimburse resource entities for any actual </w:t>
      </w:r>
      <w:r w:rsidRPr="00132E4D">
        <w:rPr>
          <w:rFonts w:ascii="Times New Roman" w:hAnsi="Times New Roman" w:cs="Times New Roman"/>
          <w:strike/>
          <w:sz w:val="24"/>
          <w:szCs w:val="24"/>
        </w:rPr>
        <w:t>marginal</w:t>
      </w:r>
      <w:r w:rsidRPr="00C62D22">
        <w:rPr>
          <w:rFonts w:ascii="Times New Roman" w:hAnsi="Times New Roman" w:cs="Times New Roman"/>
          <w:sz w:val="24"/>
          <w:szCs w:val="24"/>
        </w:rPr>
        <w:t xml:space="preserve"> </w:t>
      </w:r>
      <w:r w:rsidR="000D1DDF">
        <w:rPr>
          <w:rFonts w:ascii="Times New Roman" w:hAnsi="Times New Roman" w:cs="Times New Roman"/>
          <w:sz w:val="24"/>
          <w:szCs w:val="24"/>
          <w:u w:val="single"/>
        </w:rPr>
        <w:t xml:space="preserve">operating </w:t>
      </w:r>
      <w:r w:rsidRPr="00C62D22">
        <w:rPr>
          <w:rFonts w:ascii="Times New Roman" w:hAnsi="Times New Roman" w:cs="Times New Roman"/>
          <w:sz w:val="24"/>
          <w:szCs w:val="24"/>
        </w:rPr>
        <w:t xml:space="preserve">costs </w:t>
      </w:r>
      <w:proofErr w:type="gramStart"/>
      <w:r w:rsidRPr="00C62D22">
        <w:rPr>
          <w:rFonts w:ascii="Times New Roman" w:hAnsi="Times New Roman" w:cs="Times New Roman"/>
          <w:sz w:val="24"/>
          <w:szCs w:val="24"/>
        </w:rPr>
        <w:t>in excess of</w:t>
      </w:r>
      <w:proofErr w:type="gramEnd"/>
      <w:r w:rsidRPr="00C62D22">
        <w:rPr>
          <w:rFonts w:ascii="Times New Roman" w:hAnsi="Times New Roman" w:cs="Times New Roman"/>
          <w:sz w:val="24"/>
          <w:szCs w:val="24"/>
        </w:rPr>
        <w:t xml:space="preserve"> real-time revenues. ERCOT must utilize existing settlement processes to the extent possible to verify the resource entity’s costs for reimbursement.</w:t>
      </w:r>
      <w:r w:rsidR="008E6C08">
        <w:rPr>
          <w:rFonts w:ascii="Times New Roman" w:hAnsi="Times New Roman" w:cs="Times New Roman"/>
          <w:sz w:val="24"/>
          <w:szCs w:val="24"/>
        </w:rPr>
        <w:t xml:space="preserve"> </w:t>
      </w:r>
    </w:p>
    <w:p w14:paraId="735A7C9D" w14:textId="68A000F4" w:rsidR="00D163F0" w:rsidRPr="00846FA6" w:rsidRDefault="00D163F0" w:rsidP="00D163F0">
      <w:pPr>
        <w:pStyle w:val="ListParagraph"/>
        <w:numPr>
          <w:ilvl w:val="0"/>
          <w:numId w:val="22"/>
        </w:numPr>
        <w:spacing w:line="360" w:lineRule="auto"/>
        <w:jc w:val="both"/>
        <w:rPr>
          <w:rFonts w:ascii="Times New Roman" w:hAnsi="Times New Roman" w:cs="Times New Roman"/>
          <w:b/>
          <w:sz w:val="24"/>
          <w:szCs w:val="24"/>
        </w:rPr>
      </w:pPr>
      <w:r>
        <w:rPr>
          <w:rFonts w:ascii="Times New Roman" w:hAnsi="Times New Roman" w:cs="Times New Roman"/>
          <w:b/>
          <w:sz w:val="24"/>
          <w:szCs w:val="24"/>
        </w:rPr>
        <w:t>Conclusion</w:t>
      </w:r>
      <w:r w:rsidRPr="00846FA6">
        <w:rPr>
          <w:rFonts w:ascii="Times New Roman" w:hAnsi="Times New Roman" w:cs="Times New Roman"/>
          <w:b/>
          <w:sz w:val="24"/>
          <w:szCs w:val="24"/>
        </w:rPr>
        <w:t>.</w:t>
      </w:r>
    </w:p>
    <w:p w14:paraId="5D64E0C6" w14:textId="701E8BA4" w:rsidR="00846FA6" w:rsidRDefault="00D163F0" w:rsidP="00846FA6">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TCPA appreciates the Commission’s consideration of these comments and requests that the Commission:</w:t>
      </w:r>
    </w:p>
    <w:p w14:paraId="5EE00538" w14:textId="6627A16C" w:rsidR="00D163F0" w:rsidRDefault="00D163F0" w:rsidP="00D163F0">
      <w:pPr>
        <w:pStyle w:val="ListParagraph"/>
        <w:numPr>
          <w:ilvl w:val="0"/>
          <w:numId w:val="23"/>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Modify proposed 16 TAC § 25.505(g)(7) </w:t>
      </w:r>
      <w:r w:rsidR="00224B2E">
        <w:rPr>
          <w:rFonts w:ascii="Times New Roman" w:hAnsi="Times New Roman" w:cs="Times New Roman"/>
          <w:sz w:val="24"/>
          <w:szCs w:val="24"/>
        </w:rPr>
        <w:t xml:space="preserve">as proposed above </w:t>
      </w:r>
      <w:r w:rsidR="002767EF">
        <w:rPr>
          <w:rFonts w:ascii="Times New Roman" w:hAnsi="Times New Roman" w:cs="Times New Roman"/>
          <w:sz w:val="24"/>
          <w:szCs w:val="24"/>
        </w:rPr>
        <w:t xml:space="preserve">to </w:t>
      </w:r>
      <w:r w:rsidR="00224B2E">
        <w:rPr>
          <w:rFonts w:ascii="Times New Roman" w:hAnsi="Times New Roman" w:cs="Times New Roman"/>
          <w:sz w:val="24"/>
          <w:szCs w:val="24"/>
        </w:rPr>
        <w:t>ensure consistent support for reliability-enhancing incurred costs during extraordinary market events; and</w:t>
      </w:r>
    </w:p>
    <w:p w14:paraId="50D9DC5E" w14:textId="15A88FB9" w:rsidR="00846FA6" w:rsidRDefault="00846FA6" w:rsidP="00846FA6">
      <w:pPr>
        <w:spacing w:line="360" w:lineRule="auto"/>
        <w:jc w:val="both"/>
        <w:rPr>
          <w:rFonts w:ascii="Times New Roman" w:hAnsi="Times New Roman" w:cs="Times New Roman"/>
          <w:sz w:val="24"/>
          <w:szCs w:val="24"/>
        </w:rPr>
      </w:pPr>
    </w:p>
    <w:p w14:paraId="4D95F984" w14:textId="7E17D060" w:rsidR="00EF6274" w:rsidRDefault="00EF6274" w:rsidP="00EF6274">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Dated:  </w:t>
      </w:r>
      <w:r w:rsidR="003A3E32">
        <w:rPr>
          <w:rFonts w:ascii="Times New Roman" w:hAnsi="Times New Roman" w:cs="Times New Roman"/>
          <w:sz w:val="24"/>
          <w:szCs w:val="24"/>
        </w:rPr>
        <w:t>June 3</w:t>
      </w:r>
      <w:r>
        <w:rPr>
          <w:rFonts w:ascii="Times New Roman" w:hAnsi="Times New Roman" w:cs="Times New Roman"/>
          <w:sz w:val="24"/>
          <w:szCs w:val="24"/>
        </w:rPr>
        <w:t>, 2021</w:t>
      </w:r>
    </w:p>
    <w:p w14:paraId="0D9223E8" w14:textId="77777777" w:rsidR="00EF6274" w:rsidRPr="0048370E" w:rsidRDefault="00EF6274" w:rsidP="00EF6274">
      <w:pPr>
        <w:spacing w:after="0" w:line="480" w:lineRule="auto"/>
        <w:ind w:left="3600" w:firstLine="720"/>
        <w:jc w:val="both"/>
        <w:rPr>
          <w:rFonts w:ascii="Times New Roman" w:eastAsia="Calibri" w:hAnsi="Times New Roman" w:cs="Times New Roman"/>
          <w:sz w:val="24"/>
          <w:szCs w:val="24"/>
        </w:rPr>
      </w:pPr>
      <w:r w:rsidRPr="0048370E">
        <w:rPr>
          <w:rFonts w:ascii="Times New Roman" w:eastAsia="Calibri" w:hAnsi="Times New Roman" w:cs="Times New Roman"/>
          <w:sz w:val="24"/>
          <w:szCs w:val="24"/>
        </w:rPr>
        <w:t>Respectfully submitted,</w:t>
      </w:r>
    </w:p>
    <w:p w14:paraId="3A7844C9" w14:textId="77777777" w:rsidR="00EF6274" w:rsidRPr="0048370E" w:rsidRDefault="00EF6274" w:rsidP="00EF6274">
      <w:pPr>
        <w:spacing w:after="0" w:line="240" w:lineRule="auto"/>
        <w:ind w:left="3600" w:firstLine="720"/>
        <w:jc w:val="both"/>
        <w:rPr>
          <w:rFonts w:ascii="Times New Roman" w:eastAsia="Calibri" w:hAnsi="Times New Roman" w:cs="Times New Roman"/>
          <w:sz w:val="24"/>
          <w:szCs w:val="24"/>
        </w:rPr>
      </w:pPr>
    </w:p>
    <w:p w14:paraId="32F3B421" w14:textId="77777777" w:rsidR="00EF6274" w:rsidRPr="0048370E" w:rsidRDefault="00EF6274" w:rsidP="00EF6274">
      <w:pPr>
        <w:spacing w:after="0" w:line="240" w:lineRule="auto"/>
        <w:ind w:left="3600" w:firstLine="720"/>
        <w:jc w:val="both"/>
        <w:rPr>
          <w:rFonts w:ascii="Times New Roman" w:eastAsia="Calibri" w:hAnsi="Times New Roman" w:cs="Times New Roman"/>
          <w:sz w:val="24"/>
          <w:szCs w:val="24"/>
        </w:rPr>
      </w:pPr>
    </w:p>
    <w:p w14:paraId="4A52190C" w14:textId="77777777" w:rsidR="00EF6274" w:rsidRPr="0048370E" w:rsidRDefault="00EF6274" w:rsidP="00EF6274">
      <w:pPr>
        <w:tabs>
          <w:tab w:val="left" w:pos="4320"/>
        </w:tabs>
        <w:spacing w:after="0" w:line="240" w:lineRule="auto"/>
        <w:ind w:right="-540"/>
        <w:rPr>
          <w:rFonts w:ascii="Times New Roman" w:eastAsia="Times New Roman" w:hAnsi="Times New Roman" w:cs="Times New Roman"/>
          <w:sz w:val="24"/>
          <w:szCs w:val="24"/>
        </w:rPr>
      </w:pPr>
      <w:r w:rsidRPr="0048370E">
        <w:rPr>
          <w:rFonts w:ascii="Times New Roman" w:eastAsia="Times New Roman" w:hAnsi="Times New Roman" w:cs="Times New Roman"/>
          <w:sz w:val="24"/>
          <w:szCs w:val="24"/>
        </w:rPr>
        <w:tab/>
        <w:t>__________________________________</w:t>
      </w:r>
    </w:p>
    <w:p w14:paraId="4A97D101" w14:textId="5A997210" w:rsidR="00EF6274" w:rsidRDefault="00EF6274" w:rsidP="00EF6274">
      <w:pPr>
        <w:spacing w:after="0" w:line="240" w:lineRule="auto"/>
        <w:ind w:firstLine="720"/>
        <w:outlineLvl w:val="0"/>
        <w:rPr>
          <w:rFonts w:ascii="Times New Roman" w:eastAsia="Times New Roman" w:hAnsi="Times New Roman" w:cs="Times New Roman"/>
          <w:sz w:val="24"/>
          <w:szCs w:val="24"/>
        </w:rPr>
      </w:pPr>
      <w:r w:rsidRPr="0048370E">
        <w:rPr>
          <w:rFonts w:ascii="Times New Roman" w:eastAsia="Times New Roman" w:hAnsi="Times New Roman" w:cs="Times New Roman"/>
          <w:sz w:val="24"/>
          <w:szCs w:val="24"/>
        </w:rPr>
        <w:tab/>
      </w:r>
      <w:r w:rsidRPr="0048370E">
        <w:rPr>
          <w:rFonts w:ascii="Times New Roman" w:eastAsia="Times New Roman" w:hAnsi="Times New Roman" w:cs="Times New Roman"/>
          <w:sz w:val="24"/>
          <w:szCs w:val="24"/>
        </w:rPr>
        <w:tab/>
      </w:r>
      <w:r w:rsidRPr="0048370E">
        <w:rPr>
          <w:rFonts w:ascii="Times New Roman" w:eastAsia="Times New Roman" w:hAnsi="Times New Roman" w:cs="Times New Roman"/>
          <w:sz w:val="24"/>
          <w:szCs w:val="24"/>
        </w:rPr>
        <w:tab/>
      </w:r>
      <w:r w:rsidRPr="0048370E">
        <w:rPr>
          <w:rFonts w:ascii="Times New Roman" w:eastAsia="Times New Roman" w:hAnsi="Times New Roman" w:cs="Times New Roman"/>
          <w:sz w:val="24"/>
          <w:szCs w:val="24"/>
        </w:rPr>
        <w:tab/>
      </w:r>
      <w:r w:rsidRPr="0048370E">
        <w:rPr>
          <w:rFonts w:ascii="Times New Roman" w:eastAsia="Times New Roman" w:hAnsi="Times New Roman" w:cs="Times New Roman"/>
          <w:sz w:val="24"/>
          <w:szCs w:val="24"/>
        </w:rPr>
        <w:tab/>
      </w:r>
      <w:r>
        <w:rPr>
          <w:rFonts w:ascii="Times New Roman" w:eastAsia="Times New Roman" w:hAnsi="Times New Roman" w:cs="Times New Roman"/>
          <w:sz w:val="24"/>
          <w:szCs w:val="24"/>
        </w:rPr>
        <w:t>Michele Richmond</w:t>
      </w:r>
    </w:p>
    <w:p w14:paraId="3D39DF91" w14:textId="77777777" w:rsidR="00EF6274" w:rsidRDefault="00EF6274" w:rsidP="00EF6274">
      <w:pPr>
        <w:spacing w:after="0" w:line="240" w:lineRule="auto"/>
        <w:ind w:firstLine="720"/>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Executive Director</w:t>
      </w:r>
    </w:p>
    <w:p w14:paraId="70428D19" w14:textId="77777777" w:rsidR="00EF6274" w:rsidRDefault="00EF6274" w:rsidP="00EF6274">
      <w:pPr>
        <w:spacing w:after="0" w:line="240" w:lineRule="auto"/>
        <w:ind w:firstLine="720"/>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Texas Competitive Power Advocates (TCPA)</w:t>
      </w:r>
    </w:p>
    <w:p w14:paraId="442BE69A" w14:textId="77777777" w:rsidR="00EF6274" w:rsidRDefault="00EF6274" w:rsidP="00EF6274">
      <w:pPr>
        <w:spacing w:after="0" w:line="240" w:lineRule="auto"/>
        <w:ind w:firstLine="720"/>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(512) 653-7447</w:t>
      </w:r>
    </w:p>
    <w:p w14:paraId="22936227" w14:textId="4DBE8ED0" w:rsidR="00FA7269" w:rsidRPr="0048370E" w:rsidRDefault="00EF6274" w:rsidP="00EF6274">
      <w:pPr>
        <w:spacing w:line="36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hyperlink r:id="rId8" w:history="1">
        <w:r w:rsidRPr="00EC70B9">
          <w:rPr>
            <w:rStyle w:val="Hyperlink"/>
            <w:rFonts w:ascii="Times New Roman" w:eastAsia="Times New Roman" w:hAnsi="Times New Roman" w:cs="Times New Roman"/>
            <w:sz w:val="24"/>
            <w:szCs w:val="24"/>
          </w:rPr>
          <w:t>michele@competitivepower.org</w:t>
        </w:r>
      </w:hyperlink>
    </w:p>
    <w:sectPr w:rsidR="00FA7269" w:rsidRPr="0048370E" w:rsidSect="006E55AF">
      <w:footerReference w:type="default" r:id="rId9"/>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2E046" w14:textId="77777777" w:rsidR="003C61D6" w:rsidRDefault="003C61D6" w:rsidP="00F75562">
      <w:pPr>
        <w:spacing w:after="0" w:line="240" w:lineRule="auto"/>
      </w:pPr>
      <w:r>
        <w:separator/>
      </w:r>
    </w:p>
  </w:endnote>
  <w:endnote w:type="continuationSeparator" w:id="0">
    <w:p w14:paraId="150FC0C4" w14:textId="77777777" w:rsidR="003C61D6" w:rsidRDefault="003C61D6" w:rsidP="00F755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5342659"/>
      <w:docPartObj>
        <w:docPartGallery w:val="Page Numbers (Bottom of Page)"/>
        <w:docPartUnique/>
      </w:docPartObj>
    </w:sdtPr>
    <w:sdtEndPr>
      <w:rPr>
        <w:rFonts w:ascii="Times New Roman" w:hAnsi="Times New Roman" w:cs="Times New Roman"/>
        <w:noProof/>
        <w:sz w:val="24"/>
        <w:szCs w:val="24"/>
      </w:rPr>
    </w:sdtEndPr>
    <w:sdtContent>
      <w:p w14:paraId="71FB03F4" w14:textId="24C4367F" w:rsidR="00C62D22" w:rsidRPr="00FA1FB8" w:rsidRDefault="00C62D22">
        <w:pPr>
          <w:pStyle w:val="Footer"/>
          <w:jc w:val="center"/>
          <w:rPr>
            <w:rFonts w:ascii="Times New Roman" w:hAnsi="Times New Roman" w:cs="Times New Roman"/>
            <w:sz w:val="24"/>
            <w:szCs w:val="24"/>
          </w:rPr>
        </w:pPr>
        <w:r w:rsidRPr="00FA1FB8">
          <w:rPr>
            <w:rFonts w:ascii="Times New Roman" w:hAnsi="Times New Roman" w:cs="Times New Roman"/>
            <w:sz w:val="24"/>
            <w:szCs w:val="24"/>
          </w:rPr>
          <w:fldChar w:fldCharType="begin"/>
        </w:r>
        <w:r w:rsidRPr="00FA1FB8">
          <w:rPr>
            <w:rFonts w:ascii="Times New Roman" w:hAnsi="Times New Roman" w:cs="Times New Roman"/>
            <w:sz w:val="24"/>
            <w:szCs w:val="24"/>
          </w:rPr>
          <w:instrText xml:space="preserve"> PAGE   \* MERGEFORMAT </w:instrText>
        </w:r>
        <w:r w:rsidRPr="00FA1FB8">
          <w:rPr>
            <w:rFonts w:ascii="Times New Roman" w:hAnsi="Times New Roman" w:cs="Times New Roman"/>
            <w:sz w:val="24"/>
            <w:szCs w:val="24"/>
          </w:rPr>
          <w:fldChar w:fldCharType="separate"/>
        </w:r>
        <w:r>
          <w:rPr>
            <w:rFonts w:ascii="Times New Roman" w:hAnsi="Times New Roman" w:cs="Times New Roman"/>
            <w:noProof/>
            <w:sz w:val="24"/>
            <w:szCs w:val="24"/>
          </w:rPr>
          <w:t>2</w:t>
        </w:r>
        <w:r w:rsidRPr="00FA1FB8">
          <w:rPr>
            <w:rFonts w:ascii="Times New Roman" w:hAnsi="Times New Roman" w:cs="Times New Roman"/>
            <w:noProof/>
            <w:sz w:val="24"/>
            <w:szCs w:val="24"/>
          </w:rPr>
          <w:fldChar w:fldCharType="end"/>
        </w:r>
      </w:p>
    </w:sdtContent>
  </w:sdt>
  <w:p w14:paraId="45D3A3DF" w14:textId="77777777" w:rsidR="00C62D22" w:rsidRPr="00DE4A1C" w:rsidRDefault="00C62D22" w:rsidP="00DE4A1C">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BB91F" w14:textId="77777777" w:rsidR="003C61D6" w:rsidRDefault="003C61D6" w:rsidP="00F75562">
      <w:pPr>
        <w:spacing w:after="0" w:line="240" w:lineRule="auto"/>
      </w:pPr>
      <w:r>
        <w:separator/>
      </w:r>
    </w:p>
  </w:footnote>
  <w:footnote w:type="continuationSeparator" w:id="0">
    <w:p w14:paraId="470BCF6C" w14:textId="77777777" w:rsidR="003C61D6" w:rsidRDefault="003C61D6" w:rsidP="00F75562">
      <w:pPr>
        <w:spacing w:after="0" w:line="240" w:lineRule="auto"/>
      </w:pPr>
      <w:r>
        <w:continuationSeparator/>
      </w:r>
    </w:p>
  </w:footnote>
  <w:footnote w:id="1">
    <w:p w14:paraId="5C16945A" w14:textId="03EE7EA8" w:rsidR="00851F88" w:rsidRDefault="00851F88" w:rsidP="00851F88">
      <w:pPr>
        <w:pStyle w:val="CommentText"/>
      </w:pPr>
      <w:r>
        <w:rPr>
          <w:rStyle w:val="FootnoteReference"/>
        </w:rPr>
        <w:footnoteRef/>
      </w:r>
      <w:r>
        <w:t xml:space="preserve"> </w:t>
      </w:r>
      <w:r w:rsidRPr="00A005A6">
        <w:rPr>
          <w:i/>
        </w:rPr>
        <w:t>See</w:t>
      </w:r>
      <w:r>
        <w:t xml:space="preserve"> </w:t>
      </w:r>
      <w:proofErr w:type="spellStart"/>
      <w:r>
        <w:t>Vistra</w:t>
      </w:r>
      <w:proofErr w:type="spellEnd"/>
      <w:r>
        <w:t xml:space="preserve"> </w:t>
      </w:r>
      <w:r w:rsidR="00C10A5F">
        <w:t xml:space="preserve">Corp. Business Update at p. 11 (April 26, 2021), available at: </w:t>
      </w:r>
      <w:hyperlink r:id="rId1" w:history="1">
        <w:r w:rsidRPr="00CE7215">
          <w:rPr>
            <w:rStyle w:val="Hyperlink"/>
          </w:rPr>
          <w:t>https://s21.q4cdn.com/410616722/files/doc_presentations/2021/Investor-Presentation_Business-Update_FINAL.pdf</w:t>
        </w:r>
      </w:hyperlink>
    </w:p>
  </w:footnote>
  <w:footnote w:id="2">
    <w:p w14:paraId="20A8E88B" w14:textId="7D28A7B8" w:rsidR="0092714C" w:rsidRDefault="0092714C">
      <w:pPr>
        <w:pStyle w:val="FootnoteText"/>
      </w:pPr>
      <w:r>
        <w:rPr>
          <w:rStyle w:val="FootnoteReference"/>
        </w:rPr>
        <w:footnoteRef/>
      </w:r>
      <w:r>
        <w:t xml:space="preserve"> </w:t>
      </w:r>
      <w:r w:rsidR="00C10A5F">
        <w:rPr>
          <w:i/>
        </w:rPr>
        <w:t xml:space="preserve">See </w:t>
      </w:r>
      <w:hyperlink r:id="rId2" w:history="1">
        <w:r w:rsidRPr="00B44358">
          <w:rPr>
            <w:rStyle w:val="Hyperlink"/>
          </w:rPr>
          <w:t>https://www.spglobal.com/platts/en/market-insights/latest-news/natural-gas/022521-spp-recalculates-prices-after-winter-storm-led-to-gas-power-record-highs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D28EA"/>
    <w:multiLevelType w:val="hybridMultilevel"/>
    <w:tmpl w:val="033422C0"/>
    <w:lvl w:ilvl="0" w:tplc="5BE0F34A">
      <w:start w:val="1"/>
      <w:numFmt w:val="lowerLetter"/>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 w15:restartNumberingAfterBreak="0">
    <w:nsid w:val="03200AC2"/>
    <w:multiLevelType w:val="hybridMultilevel"/>
    <w:tmpl w:val="7D8C0A08"/>
    <w:lvl w:ilvl="0" w:tplc="D6FE6A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890803"/>
    <w:multiLevelType w:val="hybridMultilevel"/>
    <w:tmpl w:val="628C0E78"/>
    <w:lvl w:ilvl="0" w:tplc="A40030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C41168"/>
    <w:multiLevelType w:val="hybridMultilevel"/>
    <w:tmpl w:val="B93CC72A"/>
    <w:lvl w:ilvl="0" w:tplc="824408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E0168"/>
    <w:multiLevelType w:val="hybridMultilevel"/>
    <w:tmpl w:val="415A655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FB76AC7"/>
    <w:multiLevelType w:val="hybridMultilevel"/>
    <w:tmpl w:val="93D0106E"/>
    <w:lvl w:ilvl="0" w:tplc="4FD06330">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5CE1A5B"/>
    <w:multiLevelType w:val="hybridMultilevel"/>
    <w:tmpl w:val="8048F122"/>
    <w:lvl w:ilvl="0" w:tplc="04090001">
      <w:start w:val="1"/>
      <w:numFmt w:val="bullet"/>
      <w:lvlText w:val=""/>
      <w:lvlJc w:val="left"/>
      <w:pPr>
        <w:ind w:left="1530" w:hanging="360"/>
      </w:pPr>
      <w:rPr>
        <w:rFonts w:ascii="Symbol" w:hAnsi="Symbol"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7" w15:restartNumberingAfterBreak="0">
    <w:nsid w:val="2BBB6680"/>
    <w:multiLevelType w:val="hybridMultilevel"/>
    <w:tmpl w:val="75A24EC2"/>
    <w:lvl w:ilvl="0" w:tplc="92FEA0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2A583A"/>
    <w:multiLevelType w:val="hybridMultilevel"/>
    <w:tmpl w:val="0BCC04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375261"/>
    <w:multiLevelType w:val="hybridMultilevel"/>
    <w:tmpl w:val="481248AE"/>
    <w:lvl w:ilvl="0" w:tplc="B7EA3C3C">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FBB1F64"/>
    <w:multiLevelType w:val="hybridMultilevel"/>
    <w:tmpl w:val="019E579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4AAD1816"/>
    <w:multiLevelType w:val="multilevel"/>
    <w:tmpl w:val="D6EC9E3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3343515"/>
    <w:multiLevelType w:val="hybridMultilevel"/>
    <w:tmpl w:val="435221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62E6D39"/>
    <w:multiLevelType w:val="hybridMultilevel"/>
    <w:tmpl w:val="CB109F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4D5C19"/>
    <w:multiLevelType w:val="hybridMultilevel"/>
    <w:tmpl w:val="502E4DBE"/>
    <w:lvl w:ilvl="0" w:tplc="622A3CF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0FB4EFC"/>
    <w:multiLevelType w:val="hybridMultilevel"/>
    <w:tmpl w:val="47341BFA"/>
    <w:lvl w:ilvl="0" w:tplc="9288012C">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630B6DFD"/>
    <w:multiLevelType w:val="hybridMultilevel"/>
    <w:tmpl w:val="B304131E"/>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B1F4B17"/>
    <w:multiLevelType w:val="hybridMultilevel"/>
    <w:tmpl w:val="45065150"/>
    <w:lvl w:ilvl="0" w:tplc="0409000F">
      <w:start w:val="1"/>
      <w:numFmt w:val="decimal"/>
      <w:pStyle w:val="bullet4level1"/>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72725188"/>
    <w:multiLevelType w:val="hybridMultilevel"/>
    <w:tmpl w:val="103A0422"/>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19" w15:restartNumberingAfterBreak="0">
    <w:nsid w:val="77D87DBF"/>
    <w:multiLevelType w:val="hybridMultilevel"/>
    <w:tmpl w:val="0AE8A47C"/>
    <w:lvl w:ilvl="0" w:tplc="04090017">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901C6D"/>
    <w:multiLevelType w:val="hybridMultilevel"/>
    <w:tmpl w:val="35185BFC"/>
    <w:lvl w:ilvl="0" w:tplc="C054DA7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2"/>
  </w:num>
  <w:num w:numId="3">
    <w:abstractNumId w:val="18"/>
  </w:num>
  <w:num w:numId="4">
    <w:abstractNumId w:val="14"/>
  </w:num>
  <w:num w:numId="5">
    <w:abstractNumId w:val="19"/>
  </w:num>
  <w:num w:numId="6">
    <w:abstractNumId w:val="13"/>
  </w:num>
  <w:num w:numId="7">
    <w:abstractNumId w:val="9"/>
  </w:num>
  <w:num w:numId="8">
    <w:abstractNumId w:val="1"/>
  </w:num>
  <w:num w:numId="9">
    <w:abstractNumId w:val="17"/>
  </w:num>
  <w:num w:numId="10">
    <w:abstractNumId w:val="17"/>
    <w:lvlOverride w:ilvl="0">
      <w:startOverride w:val="9"/>
    </w:lvlOverride>
  </w:num>
  <w:num w:numId="11">
    <w:abstractNumId w:val="8"/>
  </w:num>
  <w:num w:numId="12">
    <w:abstractNumId w:val="17"/>
  </w:num>
  <w:num w:numId="13">
    <w:abstractNumId w:val="5"/>
  </w:num>
  <w:num w:numId="14">
    <w:abstractNumId w:val="4"/>
  </w:num>
  <w:num w:numId="15">
    <w:abstractNumId w:val="10"/>
  </w:num>
  <w:num w:numId="16">
    <w:abstractNumId w:val="6"/>
  </w:num>
  <w:num w:numId="17">
    <w:abstractNumId w:val="7"/>
  </w:num>
  <w:num w:numId="18">
    <w:abstractNumId w:val="0"/>
  </w:num>
  <w:num w:numId="19">
    <w:abstractNumId w:val="15"/>
  </w:num>
  <w:num w:numId="20">
    <w:abstractNumId w:val="3"/>
  </w:num>
  <w:num w:numId="21">
    <w:abstractNumId w:val="16"/>
  </w:num>
  <w:num w:numId="22">
    <w:abstractNumId w:val="2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A2A"/>
    <w:rsid w:val="00010075"/>
    <w:rsid w:val="00014944"/>
    <w:rsid w:val="0002240E"/>
    <w:rsid w:val="000307CD"/>
    <w:rsid w:val="00030FEC"/>
    <w:rsid w:val="00031251"/>
    <w:rsid w:val="0003371E"/>
    <w:rsid w:val="0003477C"/>
    <w:rsid w:val="00036921"/>
    <w:rsid w:val="00042EF0"/>
    <w:rsid w:val="00045229"/>
    <w:rsid w:val="00046768"/>
    <w:rsid w:val="00054347"/>
    <w:rsid w:val="0005633D"/>
    <w:rsid w:val="000571E2"/>
    <w:rsid w:val="0005734B"/>
    <w:rsid w:val="00061659"/>
    <w:rsid w:val="0006777B"/>
    <w:rsid w:val="00071F62"/>
    <w:rsid w:val="000732E0"/>
    <w:rsid w:val="00075B12"/>
    <w:rsid w:val="000955AD"/>
    <w:rsid w:val="00096E26"/>
    <w:rsid w:val="00097506"/>
    <w:rsid w:val="000A37D9"/>
    <w:rsid w:val="000A5731"/>
    <w:rsid w:val="000B51B5"/>
    <w:rsid w:val="000B5DE9"/>
    <w:rsid w:val="000C0D48"/>
    <w:rsid w:val="000C36D3"/>
    <w:rsid w:val="000C3B7E"/>
    <w:rsid w:val="000C5978"/>
    <w:rsid w:val="000D06A7"/>
    <w:rsid w:val="000D1DDF"/>
    <w:rsid w:val="000D21B1"/>
    <w:rsid w:val="000D635C"/>
    <w:rsid w:val="000D6B96"/>
    <w:rsid w:val="000E0524"/>
    <w:rsid w:val="000E2B2D"/>
    <w:rsid w:val="000E6383"/>
    <w:rsid w:val="000E7B5F"/>
    <w:rsid w:val="000F13C8"/>
    <w:rsid w:val="000F46BC"/>
    <w:rsid w:val="00103F50"/>
    <w:rsid w:val="001105F6"/>
    <w:rsid w:val="00121648"/>
    <w:rsid w:val="00123CBB"/>
    <w:rsid w:val="0012447A"/>
    <w:rsid w:val="001304BD"/>
    <w:rsid w:val="00132E4D"/>
    <w:rsid w:val="00137E19"/>
    <w:rsid w:val="00154015"/>
    <w:rsid w:val="001572FC"/>
    <w:rsid w:val="001578F3"/>
    <w:rsid w:val="001628CB"/>
    <w:rsid w:val="00163B6B"/>
    <w:rsid w:val="00166969"/>
    <w:rsid w:val="00167A82"/>
    <w:rsid w:val="00170117"/>
    <w:rsid w:val="001702F0"/>
    <w:rsid w:val="00190776"/>
    <w:rsid w:val="00192C6E"/>
    <w:rsid w:val="00192CC8"/>
    <w:rsid w:val="001935D1"/>
    <w:rsid w:val="00193720"/>
    <w:rsid w:val="001938E2"/>
    <w:rsid w:val="00194B40"/>
    <w:rsid w:val="00195B5A"/>
    <w:rsid w:val="001962FF"/>
    <w:rsid w:val="001D07D6"/>
    <w:rsid w:val="001D4FA4"/>
    <w:rsid w:val="001D6158"/>
    <w:rsid w:val="001E0E5C"/>
    <w:rsid w:val="001E2AAB"/>
    <w:rsid w:val="001E65A8"/>
    <w:rsid w:val="001F22E2"/>
    <w:rsid w:val="001F3983"/>
    <w:rsid w:val="001F4BDD"/>
    <w:rsid w:val="001F4EBD"/>
    <w:rsid w:val="001F7A71"/>
    <w:rsid w:val="00200305"/>
    <w:rsid w:val="0020067B"/>
    <w:rsid w:val="002029CE"/>
    <w:rsid w:val="00202ABE"/>
    <w:rsid w:val="00205243"/>
    <w:rsid w:val="00205D0C"/>
    <w:rsid w:val="002067AC"/>
    <w:rsid w:val="00207B19"/>
    <w:rsid w:val="00213D64"/>
    <w:rsid w:val="00216C26"/>
    <w:rsid w:val="00224B2E"/>
    <w:rsid w:val="00227A7D"/>
    <w:rsid w:val="0023118A"/>
    <w:rsid w:val="00232B97"/>
    <w:rsid w:val="00242FD3"/>
    <w:rsid w:val="002512D8"/>
    <w:rsid w:val="00251B7C"/>
    <w:rsid w:val="00252014"/>
    <w:rsid w:val="00253B79"/>
    <w:rsid w:val="00255149"/>
    <w:rsid w:val="00255E09"/>
    <w:rsid w:val="0026067E"/>
    <w:rsid w:val="00261180"/>
    <w:rsid w:val="00262669"/>
    <w:rsid w:val="00262B70"/>
    <w:rsid w:val="00266E3F"/>
    <w:rsid w:val="00273648"/>
    <w:rsid w:val="00273E67"/>
    <w:rsid w:val="0027450E"/>
    <w:rsid w:val="002745DE"/>
    <w:rsid w:val="002767EF"/>
    <w:rsid w:val="00280A0C"/>
    <w:rsid w:val="00287E68"/>
    <w:rsid w:val="00291D2C"/>
    <w:rsid w:val="00294D9C"/>
    <w:rsid w:val="002A489E"/>
    <w:rsid w:val="002A4D83"/>
    <w:rsid w:val="002A614C"/>
    <w:rsid w:val="002B3775"/>
    <w:rsid w:val="002B5E28"/>
    <w:rsid w:val="002B7F45"/>
    <w:rsid w:val="002C12ED"/>
    <w:rsid w:val="002C1DCB"/>
    <w:rsid w:val="002C3B37"/>
    <w:rsid w:val="002C3FDB"/>
    <w:rsid w:val="002C5749"/>
    <w:rsid w:val="002C74F9"/>
    <w:rsid w:val="002D474F"/>
    <w:rsid w:val="002D47C2"/>
    <w:rsid w:val="002D5EF1"/>
    <w:rsid w:val="002D7408"/>
    <w:rsid w:val="002D7A15"/>
    <w:rsid w:val="002E06D4"/>
    <w:rsid w:val="002E6058"/>
    <w:rsid w:val="002F3373"/>
    <w:rsid w:val="00302EA6"/>
    <w:rsid w:val="003034DB"/>
    <w:rsid w:val="003045BD"/>
    <w:rsid w:val="00310577"/>
    <w:rsid w:val="00313924"/>
    <w:rsid w:val="003168C1"/>
    <w:rsid w:val="003213D7"/>
    <w:rsid w:val="00322636"/>
    <w:rsid w:val="003271A1"/>
    <w:rsid w:val="0033473A"/>
    <w:rsid w:val="00334F49"/>
    <w:rsid w:val="00337792"/>
    <w:rsid w:val="00337FAE"/>
    <w:rsid w:val="00342F37"/>
    <w:rsid w:val="003436BD"/>
    <w:rsid w:val="0034686C"/>
    <w:rsid w:val="003505C9"/>
    <w:rsid w:val="00351721"/>
    <w:rsid w:val="003518D2"/>
    <w:rsid w:val="00351DD7"/>
    <w:rsid w:val="0035291C"/>
    <w:rsid w:val="00356254"/>
    <w:rsid w:val="00357097"/>
    <w:rsid w:val="00360BC4"/>
    <w:rsid w:val="00367BF2"/>
    <w:rsid w:val="0037172E"/>
    <w:rsid w:val="00375AF6"/>
    <w:rsid w:val="00384857"/>
    <w:rsid w:val="00386473"/>
    <w:rsid w:val="00386622"/>
    <w:rsid w:val="00393354"/>
    <w:rsid w:val="003946A4"/>
    <w:rsid w:val="003A1946"/>
    <w:rsid w:val="003A2492"/>
    <w:rsid w:val="003A2A12"/>
    <w:rsid w:val="003A3E32"/>
    <w:rsid w:val="003B3056"/>
    <w:rsid w:val="003B73E3"/>
    <w:rsid w:val="003C0381"/>
    <w:rsid w:val="003C32F3"/>
    <w:rsid w:val="003C37A3"/>
    <w:rsid w:val="003C61D6"/>
    <w:rsid w:val="003C7AF6"/>
    <w:rsid w:val="003D7037"/>
    <w:rsid w:val="003D71A1"/>
    <w:rsid w:val="003D72B3"/>
    <w:rsid w:val="003D7DB6"/>
    <w:rsid w:val="003E0E39"/>
    <w:rsid w:val="003E15AD"/>
    <w:rsid w:val="003E24B4"/>
    <w:rsid w:val="003E24DE"/>
    <w:rsid w:val="003E3484"/>
    <w:rsid w:val="003E6C93"/>
    <w:rsid w:val="003E7AC6"/>
    <w:rsid w:val="003E7BF5"/>
    <w:rsid w:val="003F1018"/>
    <w:rsid w:val="003F3017"/>
    <w:rsid w:val="003F4465"/>
    <w:rsid w:val="00401872"/>
    <w:rsid w:val="00401E29"/>
    <w:rsid w:val="00402512"/>
    <w:rsid w:val="00403061"/>
    <w:rsid w:val="004112F6"/>
    <w:rsid w:val="00416537"/>
    <w:rsid w:val="004202E4"/>
    <w:rsid w:val="00420657"/>
    <w:rsid w:val="00421971"/>
    <w:rsid w:val="00422386"/>
    <w:rsid w:val="00422B62"/>
    <w:rsid w:val="00422FFD"/>
    <w:rsid w:val="00434338"/>
    <w:rsid w:val="004372B4"/>
    <w:rsid w:val="00442514"/>
    <w:rsid w:val="00442CD2"/>
    <w:rsid w:val="004453EB"/>
    <w:rsid w:val="00453DFA"/>
    <w:rsid w:val="00456605"/>
    <w:rsid w:val="00456B28"/>
    <w:rsid w:val="00460964"/>
    <w:rsid w:val="004659AC"/>
    <w:rsid w:val="004736E9"/>
    <w:rsid w:val="00476493"/>
    <w:rsid w:val="00480DCE"/>
    <w:rsid w:val="00481573"/>
    <w:rsid w:val="0048370E"/>
    <w:rsid w:val="0048570C"/>
    <w:rsid w:val="00486B34"/>
    <w:rsid w:val="0049069F"/>
    <w:rsid w:val="004944DB"/>
    <w:rsid w:val="0049726E"/>
    <w:rsid w:val="004A48CE"/>
    <w:rsid w:val="004A6051"/>
    <w:rsid w:val="004B005F"/>
    <w:rsid w:val="004B05C4"/>
    <w:rsid w:val="004B15F8"/>
    <w:rsid w:val="004B3900"/>
    <w:rsid w:val="004B4D3C"/>
    <w:rsid w:val="004B63FA"/>
    <w:rsid w:val="004B7CC5"/>
    <w:rsid w:val="004C28BC"/>
    <w:rsid w:val="004C4619"/>
    <w:rsid w:val="004C50C3"/>
    <w:rsid w:val="004D1B6D"/>
    <w:rsid w:val="004D545E"/>
    <w:rsid w:val="004D69B9"/>
    <w:rsid w:val="004E12BC"/>
    <w:rsid w:val="004E67C6"/>
    <w:rsid w:val="004E73ED"/>
    <w:rsid w:val="004F06DF"/>
    <w:rsid w:val="004F458F"/>
    <w:rsid w:val="004F7A4B"/>
    <w:rsid w:val="0050125D"/>
    <w:rsid w:val="00501EDE"/>
    <w:rsid w:val="00507614"/>
    <w:rsid w:val="00512CAA"/>
    <w:rsid w:val="005138FF"/>
    <w:rsid w:val="00515E6C"/>
    <w:rsid w:val="00516B2C"/>
    <w:rsid w:val="00521BFE"/>
    <w:rsid w:val="00523240"/>
    <w:rsid w:val="00523920"/>
    <w:rsid w:val="0053147F"/>
    <w:rsid w:val="00532F26"/>
    <w:rsid w:val="0053303B"/>
    <w:rsid w:val="00533362"/>
    <w:rsid w:val="0053412A"/>
    <w:rsid w:val="00534C97"/>
    <w:rsid w:val="005350ED"/>
    <w:rsid w:val="005351A0"/>
    <w:rsid w:val="00535AFB"/>
    <w:rsid w:val="005379FF"/>
    <w:rsid w:val="0054069F"/>
    <w:rsid w:val="00543962"/>
    <w:rsid w:val="00543EF0"/>
    <w:rsid w:val="0054482C"/>
    <w:rsid w:val="00550B6E"/>
    <w:rsid w:val="00553CD9"/>
    <w:rsid w:val="00554BCF"/>
    <w:rsid w:val="00563AB2"/>
    <w:rsid w:val="00563D57"/>
    <w:rsid w:val="005726D7"/>
    <w:rsid w:val="00572AE4"/>
    <w:rsid w:val="0057376B"/>
    <w:rsid w:val="0057664E"/>
    <w:rsid w:val="00577402"/>
    <w:rsid w:val="00577953"/>
    <w:rsid w:val="00580056"/>
    <w:rsid w:val="005810FF"/>
    <w:rsid w:val="0058232C"/>
    <w:rsid w:val="005837D7"/>
    <w:rsid w:val="00583852"/>
    <w:rsid w:val="00584585"/>
    <w:rsid w:val="00585B1C"/>
    <w:rsid w:val="0059488D"/>
    <w:rsid w:val="005A06B8"/>
    <w:rsid w:val="005A0BFF"/>
    <w:rsid w:val="005A3128"/>
    <w:rsid w:val="005A4476"/>
    <w:rsid w:val="005A590A"/>
    <w:rsid w:val="005A7447"/>
    <w:rsid w:val="005B4EF8"/>
    <w:rsid w:val="005B7F26"/>
    <w:rsid w:val="005C0660"/>
    <w:rsid w:val="005C5B1D"/>
    <w:rsid w:val="005C6ED9"/>
    <w:rsid w:val="005C7A60"/>
    <w:rsid w:val="005D2045"/>
    <w:rsid w:val="005D5BF5"/>
    <w:rsid w:val="005D6220"/>
    <w:rsid w:val="005D6D79"/>
    <w:rsid w:val="005E3915"/>
    <w:rsid w:val="005E3DA5"/>
    <w:rsid w:val="005E4ABB"/>
    <w:rsid w:val="005E7C8B"/>
    <w:rsid w:val="005F2475"/>
    <w:rsid w:val="005F3E8A"/>
    <w:rsid w:val="005F4A22"/>
    <w:rsid w:val="005F4EF4"/>
    <w:rsid w:val="005F5D00"/>
    <w:rsid w:val="005F7E12"/>
    <w:rsid w:val="00601243"/>
    <w:rsid w:val="00601D3C"/>
    <w:rsid w:val="006023FA"/>
    <w:rsid w:val="006036B6"/>
    <w:rsid w:val="0060436A"/>
    <w:rsid w:val="006051C0"/>
    <w:rsid w:val="0060728C"/>
    <w:rsid w:val="00615790"/>
    <w:rsid w:val="00621084"/>
    <w:rsid w:val="00621DBF"/>
    <w:rsid w:val="00626232"/>
    <w:rsid w:val="00630B3E"/>
    <w:rsid w:val="0063287F"/>
    <w:rsid w:val="00634846"/>
    <w:rsid w:val="00642F78"/>
    <w:rsid w:val="00644382"/>
    <w:rsid w:val="00647A5D"/>
    <w:rsid w:val="00653171"/>
    <w:rsid w:val="006631FD"/>
    <w:rsid w:val="00665A5E"/>
    <w:rsid w:val="00673E53"/>
    <w:rsid w:val="00676E78"/>
    <w:rsid w:val="0068212D"/>
    <w:rsid w:val="00682353"/>
    <w:rsid w:val="006865B5"/>
    <w:rsid w:val="00691BC3"/>
    <w:rsid w:val="0069392E"/>
    <w:rsid w:val="006963EB"/>
    <w:rsid w:val="006A69E1"/>
    <w:rsid w:val="006B0636"/>
    <w:rsid w:val="006B0E5A"/>
    <w:rsid w:val="006B0F62"/>
    <w:rsid w:val="006B4FB1"/>
    <w:rsid w:val="006C1654"/>
    <w:rsid w:val="006C166B"/>
    <w:rsid w:val="006C575D"/>
    <w:rsid w:val="006C6A40"/>
    <w:rsid w:val="006C7B8C"/>
    <w:rsid w:val="006D337D"/>
    <w:rsid w:val="006D4C81"/>
    <w:rsid w:val="006D687A"/>
    <w:rsid w:val="006D6CF4"/>
    <w:rsid w:val="006D7390"/>
    <w:rsid w:val="006E16AD"/>
    <w:rsid w:val="006E1D14"/>
    <w:rsid w:val="006E346F"/>
    <w:rsid w:val="006E43F5"/>
    <w:rsid w:val="006E55AF"/>
    <w:rsid w:val="006E657D"/>
    <w:rsid w:val="006F189D"/>
    <w:rsid w:val="006F20D6"/>
    <w:rsid w:val="006F2AE8"/>
    <w:rsid w:val="006F42C9"/>
    <w:rsid w:val="006F4967"/>
    <w:rsid w:val="007015A7"/>
    <w:rsid w:val="00702CAC"/>
    <w:rsid w:val="00704061"/>
    <w:rsid w:val="00707AF0"/>
    <w:rsid w:val="0071048C"/>
    <w:rsid w:val="00711AA9"/>
    <w:rsid w:val="0071256C"/>
    <w:rsid w:val="00713128"/>
    <w:rsid w:val="00720814"/>
    <w:rsid w:val="00721E28"/>
    <w:rsid w:val="00726973"/>
    <w:rsid w:val="007275B4"/>
    <w:rsid w:val="00727686"/>
    <w:rsid w:val="00743CA6"/>
    <w:rsid w:val="007518FE"/>
    <w:rsid w:val="00754033"/>
    <w:rsid w:val="007628FC"/>
    <w:rsid w:val="0076364F"/>
    <w:rsid w:val="0077413E"/>
    <w:rsid w:val="00776784"/>
    <w:rsid w:val="00783E5C"/>
    <w:rsid w:val="007855A7"/>
    <w:rsid w:val="007928F4"/>
    <w:rsid w:val="00793A0E"/>
    <w:rsid w:val="00793FA7"/>
    <w:rsid w:val="0079489A"/>
    <w:rsid w:val="00794CDC"/>
    <w:rsid w:val="00797C3B"/>
    <w:rsid w:val="007A001A"/>
    <w:rsid w:val="007A05F6"/>
    <w:rsid w:val="007A069A"/>
    <w:rsid w:val="007A3AE4"/>
    <w:rsid w:val="007A51B5"/>
    <w:rsid w:val="007A65EB"/>
    <w:rsid w:val="007A7F89"/>
    <w:rsid w:val="007B09F9"/>
    <w:rsid w:val="007B59D1"/>
    <w:rsid w:val="007B5A31"/>
    <w:rsid w:val="007B5B7E"/>
    <w:rsid w:val="007B74F7"/>
    <w:rsid w:val="007C45C7"/>
    <w:rsid w:val="007C6184"/>
    <w:rsid w:val="007D0A8E"/>
    <w:rsid w:val="007D1F0E"/>
    <w:rsid w:val="007D315C"/>
    <w:rsid w:val="007E475B"/>
    <w:rsid w:val="007E64D4"/>
    <w:rsid w:val="007F1B6D"/>
    <w:rsid w:val="007F6352"/>
    <w:rsid w:val="007F68E4"/>
    <w:rsid w:val="00801380"/>
    <w:rsid w:val="0080470A"/>
    <w:rsid w:val="00805708"/>
    <w:rsid w:val="00810997"/>
    <w:rsid w:val="00811303"/>
    <w:rsid w:val="00812A5E"/>
    <w:rsid w:val="008130DD"/>
    <w:rsid w:val="00813C18"/>
    <w:rsid w:val="00814588"/>
    <w:rsid w:val="00814F19"/>
    <w:rsid w:val="008152B7"/>
    <w:rsid w:val="00821BB7"/>
    <w:rsid w:val="00822119"/>
    <w:rsid w:val="008228CD"/>
    <w:rsid w:val="00831625"/>
    <w:rsid w:val="00834006"/>
    <w:rsid w:val="008361EF"/>
    <w:rsid w:val="008429DC"/>
    <w:rsid w:val="00843778"/>
    <w:rsid w:val="00846FA6"/>
    <w:rsid w:val="008478E0"/>
    <w:rsid w:val="00851F88"/>
    <w:rsid w:val="00854E6C"/>
    <w:rsid w:val="00857D57"/>
    <w:rsid w:val="008614FE"/>
    <w:rsid w:val="00864A38"/>
    <w:rsid w:val="00867684"/>
    <w:rsid w:val="00870F2B"/>
    <w:rsid w:val="008715FB"/>
    <w:rsid w:val="00874B17"/>
    <w:rsid w:val="00874DCA"/>
    <w:rsid w:val="00877424"/>
    <w:rsid w:val="00884A1F"/>
    <w:rsid w:val="008916F0"/>
    <w:rsid w:val="00892B9E"/>
    <w:rsid w:val="00895D51"/>
    <w:rsid w:val="008A06EE"/>
    <w:rsid w:val="008A28EC"/>
    <w:rsid w:val="008B2C47"/>
    <w:rsid w:val="008B5C43"/>
    <w:rsid w:val="008C059E"/>
    <w:rsid w:val="008C278E"/>
    <w:rsid w:val="008C3D7D"/>
    <w:rsid w:val="008C47C3"/>
    <w:rsid w:val="008D2297"/>
    <w:rsid w:val="008D38FE"/>
    <w:rsid w:val="008D3FCD"/>
    <w:rsid w:val="008D6CF1"/>
    <w:rsid w:val="008E58EF"/>
    <w:rsid w:val="008E6C08"/>
    <w:rsid w:val="008E6EAD"/>
    <w:rsid w:val="008F05D3"/>
    <w:rsid w:val="008F0E71"/>
    <w:rsid w:val="008F11D2"/>
    <w:rsid w:val="008F471B"/>
    <w:rsid w:val="008F5947"/>
    <w:rsid w:val="008F72C1"/>
    <w:rsid w:val="00900FB7"/>
    <w:rsid w:val="009040B4"/>
    <w:rsid w:val="00906CBB"/>
    <w:rsid w:val="0090787E"/>
    <w:rsid w:val="00910C19"/>
    <w:rsid w:val="00911E21"/>
    <w:rsid w:val="00915628"/>
    <w:rsid w:val="00915F5A"/>
    <w:rsid w:val="009160B1"/>
    <w:rsid w:val="00916206"/>
    <w:rsid w:val="0091767B"/>
    <w:rsid w:val="00920A4E"/>
    <w:rsid w:val="0092368C"/>
    <w:rsid w:val="0092379C"/>
    <w:rsid w:val="0092714C"/>
    <w:rsid w:val="0093425C"/>
    <w:rsid w:val="00934977"/>
    <w:rsid w:val="00941960"/>
    <w:rsid w:val="00946D17"/>
    <w:rsid w:val="009537D0"/>
    <w:rsid w:val="0095655C"/>
    <w:rsid w:val="009606AB"/>
    <w:rsid w:val="00962E4F"/>
    <w:rsid w:val="0096334C"/>
    <w:rsid w:val="00965CAF"/>
    <w:rsid w:val="00971A1F"/>
    <w:rsid w:val="00974886"/>
    <w:rsid w:val="00976844"/>
    <w:rsid w:val="00980892"/>
    <w:rsid w:val="00983F69"/>
    <w:rsid w:val="00985D40"/>
    <w:rsid w:val="0098614D"/>
    <w:rsid w:val="00995D5A"/>
    <w:rsid w:val="009979A1"/>
    <w:rsid w:val="009A2315"/>
    <w:rsid w:val="009A27EB"/>
    <w:rsid w:val="009A39DF"/>
    <w:rsid w:val="009A44C3"/>
    <w:rsid w:val="009A50F2"/>
    <w:rsid w:val="009A7140"/>
    <w:rsid w:val="009B14BA"/>
    <w:rsid w:val="009B571F"/>
    <w:rsid w:val="009C576E"/>
    <w:rsid w:val="009C7640"/>
    <w:rsid w:val="009C7B1E"/>
    <w:rsid w:val="009D303C"/>
    <w:rsid w:val="009D6C12"/>
    <w:rsid w:val="009E014E"/>
    <w:rsid w:val="009E18D0"/>
    <w:rsid w:val="009E4220"/>
    <w:rsid w:val="009E555A"/>
    <w:rsid w:val="009E569C"/>
    <w:rsid w:val="009F1AC8"/>
    <w:rsid w:val="009F5F8A"/>
    <w:rsid w:val="009F63CA"/>
    <w:rsid w:val="009F68AF"/>
    <w:rsid w:val="00A005A6"/>
    <w:rsid w:val="00A02864"/>
    <w:rsid w:val="00A04721"/>
    <w:rsid w:val="00A05E85"/>
    <w:rsid w:val="00A0772A"/>
    <w:rsid w:val="00A0782E"/>
    <w:rsid w:val="00A11D6F"/>
    <w:rsid w:val="00A15E34"/>
    <w:rsid w:val="00A166A1"/>
    <w:rsid w:val="00A21A90"/>
    <w:rsid w:val="00A24866"/>
    <w:rsid w:val="00A256AA"/>
    <w:rsid w:val="00A26DE3"/>
    <w:rsid w:val="00A274ED"/>
    <w:rsid w:val="00A31A3A"/>
    <w:rsid w:val="00A31D2E"/>
    <w:rsid w:val="00A36DF0"/>
    <w:rsid w:val="00A46914"/>
    <w:rsid w:val="00A50CD8"/>
    <w:rsid w:val="00A5116B"/>
    <w:rsid w:val="00A5433F"/>
    <w:rsid w:val="00A55A34"/>
    <w:rsid w:val="00A56D0B"/>
    <w:rsid w:val="00A5720F"/>
    <w:rsid w:val="00A5764B"/>
    <w:rsid w:val="00A57F29"/>
    <w:rsid w:val="00A64EFD"/>
    <w:rsid w:val="00A6592C"/>
    <w:rsid w:val="00A66D55"/>
    <w:rsid w:val="00A711BD"/>
    <w:rsid w:val="00A7326E"/>
    <w:rsid w:val="00A7479A"/>
    <w:rsid w:val="00A82564"/>
    <w:rsid w:val="00A867B1"/>
    <w:rsid w:val="00A87B1A"/>
    <w:rsid w:val="00A910DC"/>
    <w:rsid w:val="00A91801"/>
    <w:rsid w:val="00A91A13"/>
    <w:rsid w:val="00A91B01"/>
    <w:rsid w:val="00A923EF"/>
    <w:rsid w:val="00A92660"/>
    <w:rsid w:val="00A934BB"/>
    <w:rsid w:val="00A96898"/>
    <w:rsid w:val="00A96E53"/>
    <w:rsid w:val="00AA21DA"/>
    <w:rsid w:val="00AA61DE"/>
    <w:rsid w:val="00AB14A5"/>
    <w:rsid w:val="00AB40AF"/>
    <w:rsid w:val="00AB5488"/>
    <w:rsid w:val="00AB549D"/>
    <w:rsid w:val="00AC437A"/>
    <w:rsid w:val="00AC49A9"/>
    <w:rsid w:val="00AC5141"/>
    <w:rsid w:val="00AD1628"/>
    <w:rsid w:val="00AD3527"/>
    <w:rsid w:val="00AD43D1"/>
    <w:rsid w:val="00AD7AD3"/>
    <w:rsid w:val="00AD7E75"/>
    <w:rsid w:val="00AE01A8"/>
    <w:rsid w:val="00AE3021"/>
    <w:rsid w:val="00AE4AE7"/>
    <w:rsid w:val="00AF0DBB"/>
    <w:rsid w:val="00AF77A2"/>
    <w:rsid w:val="00AF7F6F"/>
    <w:rsid w:val="00B03268"/>
    <w:rsid w:val="00B038D0"/>
    <w:rsid w:val="00B04561"/>
    <w:rsid w:val="00B05E4B"/>
    <w:rsid w:val="00B12DCF"/>
    <w:rsid w:val="00B14DE2"/>
    <w:rsid w:val="00B16421"/>
    <w:rsid w:val="00B21A2A"/>
    <w:rsid w:val="00B2318C"/>
    <w:rsid w:val="00B31EF6"/>
    <w:rsid w:val="00B34687"/>
    <w:rsid w:val="00B34F7E"/>
    <w:rsid w:val="00B4091A"/>
    <w:rsid w:val="00B40FE0"/>
    <w:rsid w:val="00B47E43"/>
    <w:rsid w:val="00B50566"/>
    <w:rsid w:val="00B514D3"/>
    <w:rsid w:val="00B526DE"/>
    <w:rsid w:val="00B552A5"/>
    <w:rsid w:val="00B62AC8"/>
    <w:rsid w:val="00B6309A"/>
    <w:rsid w:val="00B6621F"/>
    <w:rsid w:val="00B71B3C"/>
    <w:rsid w:val="00B72B5D"/>
    <w:rsid w:val="00B74818"/>
    <w:rsid w:val="00B75B5C"/>
    <w:rsid w:val="00B87F52"/>
    <w:rsid w:val="00B91293"/>
    <w:rsid w:val="00B9225D"/>
    <w:rsid w:val="00B958AF"/>
    <w:rsid w:val="00BA2304"/>
    <w:rsid w:val="00BA7433"/>
    <w:rsid w:val="00BB5EE9"/>
    <w:rsid w:val="00BB6335"/>
    <w:rsid w:val="00BC51FC"/>
    <w:rsid w:val="00BC52C1"/>
    <w:rsid w:val="00BE4090"/>
    <w:rsid w:val="00BF7557"/>
    <w:rsid w:val="00BF7E67"/>
    <w:rsid w:val="00BF7FCD"/>
    <w:rsid w:val="00C0255A"/>
    <w:rsid w:val="00C03ED5"/>
    <w:rsid w:val="00C0423A"/>
    <w:rsid w:val="00C04743"/>
    <w:rsid w:val="00C10A5F"/>
    <w:rsid w:val="00C117AB"/>
    <w:rsid w:val="00C12459"/>
    <w:rsid w:val="00C1362F"/>
    <w:rsid w:val="00C13A5A"/>
    <w:rsid w:val="00C16EC2"/>
    <w:rsid w:val="00C214B9"/>
    <w:rsid w:val="00C217B2"/>
    <w:rsid w:val="00C2223A"/>
    <w:rsid w:val="00C32FD5"/>
    <w:rsid w:val="00C46392"/>
    <w:rsid w:val="00C46A33"/>
    <w:rsid w:val="00C62D22"/>
    <w:rsid w:val="00C63075"/>
    <w:rsid w:val="00C63668"/>
    <w:rsid w:val="00C63965"/>
    <w:rsid w:val="00C657D5"/>
    <w:rsid w:val="00C67E19"/>
    <w:rsid w:val="00C7246E"/>
    <w:rsid w:val="00C72831"/>
    <w:rsid w:val="00C72F29"/>
    <w:rsid w:val="00C81C14"/>
    <w:rsid w:val="00C83641"/>
    <w:rsid w:val="00C83B4F"/>
    <w:rsid w:val="00C83FF3"/>
    <w:rsid w:val="00C86075"/>
    <w:rsid w:val="00C86395"/>
    <w:rsid w:val="00C87E04"/>
    <w:rsid w:val="00C87E4D"/>
    <w:rsid w:val="00C90678"/>
    <w:rsid w:val="00C90CEF"/>
    <w:rsid w:val="00C9107F"/>
    <w:rsid w:val="00C92B10"/>
    <w:rsid w:val="00C94D91"/>
    <w:rsid w:val="00CA15E4"/>
    <w:rsid w:val="00CA1AB6"/>
    <w:rsid w:val="00CA4762"/>
    <w:rsid w:val="00CA739D"/>
    <w:rsid w:val="00CA7A66"/>
    <w:rsid w:val="00CB1270"/>
    <w:rsid w:val="00CB370B"/>
    <w:rsid w:val="00CB5475"/>
    <w:rsid w:val="00CC160D"/>
    <w:rsid w:val="00CC4016"/>
    <w:rsid w:val="00CC4081"/>
    <w:rsid w:val="00CC525B"/>
    <w:rsid w:val="00CC52A8"/>
    <w:rsid w:val="00CC7C6E"/>
    <w:rsid w:val="00CD0118"/>
    <w:rsid w:val="00CD5002"/>
    <w:rsid w:val="00CD62CC"/>
    <w:rsid w:val="00CE359C"/>
    <w:rsid w:val="00CE4896"/>
    <w:rsid w:val="00CE4FE6"/>
    <w:rsid w:val="00CE5233"/>
    <w:rsid w:val="00CE5D61"/>
    <w:rsid w:val="00CE7736"/>
    <w:rsid w:val="00CF29B5"/>
    <w:rsid w:val="00CF3239"/>
    <w:rsid w:val="00CF3A9E"/>
    <w:rsid w:val="00CF4743"/>
    <w:rsid w:val="00CF55FF"/>
    <w:rsid w:val="00D01054"/>
    <w:rsid w:val="00D01674"/>
    <w:rsid w:val="00D016A0"/>
    <w:rsid w:val="00D04111"/>
    <w:rsid w:val="00D06B51"/>
    <w:rsid w:val="00D07317"/>
    <w:rsid w:val="00D1211C"/>
    <w:rsid w:val="00D12AB9"/>
    <w:rsid w:val="00D15E3F"/>
    <w:rsid w:val="00D16364"/>
    <w:rsid w:val="00D163F0"/>
    <w:rsid w:val="00D2140B"/>
    <w:rsid w:val="00D22634"/>
    <w:rsid w:val="00D23516"/>
    <w:rsid w:val="00D23D6C"/>
    <w:rsid w:val="00D3197F"/>
    <w:rsid w:val="00D32ED6"/>
    <w:rsid w:val="00D34D27"/>
    <w:rsid w:val="00D43326"/>
    <w:rsid w:val="00D43756"/>
    <w:rsid w:val="00D444EE"/>
    <w:rsid w:val="00D44601"/>
    <w:rsid w:val="00D47A7D"/>
    <w:rsid w:val="00D517AE"/>
    <w:rsid w:val="00D53B62"/>
    <w:rsid w:val="00D55B68"/>
    <w:rsid w:val="00D563BD"/>
    <w:rsid w:val="00D57379"/>
    <w:rsid w:val="00D62913"/>
    <w:rsid w:val="00D65371"/>
    <w:rsid w:val="00D6576E"/>
    <w:rsid w:val="00D72990"/>
    <w:rsid w:val="00D76C64"/>
    <w:rsid w:val="00D772B0"/>
    <w:rsid w:val="00D819F0"/>
    <w:rsid w:val="00D82789"/>
    <w:rsid w:val="00D83553"/>
    <w:rsid w:val="00D850DA"/>
    <w:rsid w:val="00D87348"/>
    <w:rsid w:val="00D8782E"/>
    <w:rsid w:val="00D90BC0"/>
    <w:rsid w:val="00D90F66"/>
    <w:rsid w:val="00D926AA"/>
    <w:rsid w:val="00D952B5"/>
    <w:rsid w:val="00D977E6"/>
    <w:rsid w:val="00DA407F"/>
    <w:rsid w:val="00DA45C5"/>
    <w:rsid w:val="00DA49BD"/>
    <w:rsid w:val="00DB06D6"/>
    <w:rsid w:val="00DB26C5"/>
    <w:rsid w:val="00DB3136"/>
    <w:rsid w:val="00DB3ED7"/>
    <w:rsid w:val="00DB4446"/>
    <w:rsid w:val="00DB646F"/>
    <w:rsid w:val="00DC1770"/>
    <w:rsid w:val="00DC2AF1"/>
    <w:rsid w:val="00DC320E"/>
    <w:rsid w:val="00DC6A09"/>
    <w:rsid w:val="00DC6AF3"/>
    <w:rsid w:val="00DD3CB5"/>
    <w:rsid w:val="00DD6D86"/>
    <w:rsid w:val="00DD76AD"/>
    <w:rsid w:val="00DE1BA1"/>
    <w:rsid w:val="00DE2AE9"/>
    <w:rsid w:val="00DE4A1C"/>
    <w:rsid w:val="00DE6557"/>
    <w:rsid w:val="00DF0C8A"/>
    <w:rsid w:val="00E02E67"/>
    <w:rsid w:val="00E03753"/>
    <w:rsid w:val="00E0417F"/>
    <w:rsid w:val="00E10373"/>
    <w:rsid w:val="00E1269C"/>
    <w:rsid w:val="00E13A27"/>
    <w:rsid w:val="00E15263"/>
    <w:rsid w:val="00E15AE7"/>
    <w:rsid w:val="00E20D63"/>
    <w:rsid w:val="00E210A1"/>
    <w:rsid w:val="00E226F9"/>
    <w:rsid w:val="00E231E5"/>
    <w:rsid w:val="00E30238"/>
    <w:rsid w:val="00E3512B"/>
    <w:rsid w:val="00E4329C"/>
    <w:rsid w:val="00E447CE"/>
    <w:rsid w:val="00E455E7"/>
    <w:rsid w:val="00E50D0A"/>
    <w:rsid w:val="00E52909"/>
    <w:rsid w:val="00E56096"/>
    <w:rsid w:val="00E57065"/>
    <w:rsid w:val="00E57DF1"/>
    <w:rsid w:val="00E60C0F"/>
    <w:rsid w:val="00E60F84"/>
    <w:rsid w:val="00E64DF8"/>
    <w:rsid w:val="00E6664D"/>
    <w:rsid w:val="00E72046"/>
    <w:rsid w:val="00E76C92"/>
    <w:rsid w:val="00E82BA9"/>
    <w:rsid w:val="00E842E7"/>
    <w:rsid w:val="00E873F4"/>
    <w:rsid w:val="00E90B86"/>
    <w:rsid w:val="00E90EC7"/>
    <w:rsid w:val="00E90FA6"/>
    <w:rsid w:val="00E92A4C"/>
    <w:rsid w:val="00E95FD3"/>
    <w:rsid w:val="00EB3CD8"/>
    <w:rsid w:val="00EB480C"/>
    <w:rsid w:val="00EB63C1"/>
    <w:rsid w:val="00EB7F72"/>
    <w:rsid w:val="00EC1A00"/>
    <w:rsid w:val="00EC2147"/>
    <w:rsid w:val="00EC3B68"/>
    <w:rsid w:val="00EC5428"/>
    <w:rsid w:val="00EC5AEF"/>
    <w:rsid w:val="00ED0C77"/>
    <w:rsid w:val="00ED1662"/>
    <w:rsid w:val="00ED3241"/>
    <w:rsid w:val="00ED5769"/>
    <w:rsid w:val="00EE4124"/>
    <w:rsid w:val="00EF4CA6"/>
    <w:rsid w:val="00EF6274"/>
    <w:rsid w:val="00F01803"/>
    <w:rsid w:val="00F07C65"/>
    <w:rsid w:val="00F12100"/>
    <w:rsid w:val="00F14E9B"/>
    <w:rsid w:val="00F169EC"/>
    <w:rsid w:val="00F312C6"/>
    <w:rsid w:val="00F32A01"/>
    <w:rsid w:val="00F33CC7"/>
    <w:rsid w:val="00F42998"/>
    <w:rsid w:val="00F4663B"/>
    <w:rsid w:val="00F50818"/>
    <w:rsid w:val="00F50D4C"/>
    <w:rsid w:val="00F56215"/>
    <w:rsid w:val="00F604E6"/>
    <w:rsid w:val="00F62CF8"/>
    <w:rsid w:val="00F63A09"/>
    <w:rsid w:val="00F666F7"/>
    <w:rsid w:val="00F678CB"/>
    <w:rsid w:val="00F70F64"/>
    <w:rsid w:val="00F72635"/>
    <w:rsid w:val="00F75562"/>
    <w:rsid w:val="00F75948"/>
    <w:rsid w:val="00F779C8"/>
    <w:rsid w:val="00F80475"/>
    <w:rsid w:val="00F8155D"/>
    <w:rsid w:val="00F840FE"/>
    <w:rsid w:val="00F90019"/>
    <w:rsid w:val="00F91575"/>
    <w:rsid w:val="00F9273F"/>
    <w:rsid w:val="00FA1FB8"/>
    <w:rsid w:val="00FA3451"/>
    <w:rsid w:val="00FA6A94"/>
    <w:rsid w:val="00FA6FD7"/>
    <w:rsid w:val="00FA7269"/>
    <w:rsid w:val="00FB59DA"/>
    <w:rsid w:val="00FB5F4E"/>
    <w:rsid w:val="00FB7CEB"/>
    <w:rsid w:val="00FC013D"/>
    <w:rsid w:val="00FC14F2"/>
    <w:rsid w:val="00FC6BEB"/>
    <w:rsid w:val="00FD0D6A"/>
    <w:rsid w:val="00FD11B5"/>
    <w:rsid w:val="00FD1C6E"/>
    <w:rsid w:val="00FE0E24"/>
    <w:rsid w:val="00FE2D29"/>
    <w:rsid w:val="00FE2DFF"/>
    <w:rsid w:val="00FE5713"/>
    <w:rsid w:val="00FE7A6A"/>
    <w:rsid w:val="00FF29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88629"/>
  <w15:docId w15:val="{24CC153F-9E59-4C35-B310-4BADDC0AD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ttes">
    <w:name w:val="annette's"/>
    <w:basedOn w:val="Normal"/>
    <w:qFormat/>
    <w:rsid w:val="00A96E53"/>
    <w:pPr>
      <w:spacing w:line="360" w:lineRule="auto"/>
      <w:jc w:val="both"/>
    </w:pPr>
    <w:rPr>
      <w:rFonts w:ascii="Times New Roman" w:hAnsi="Times New Roman"/>
      <w:sz w:val="24"/>
    </w:rPr>
  </w:style>
  <w:style w:type="paragraph" w:styleId="ListParagraph">
    <w:name w:val="List Paragraph"/>
    <w:basedOn w:val="Normal"/>
    <w:uiPriority w:val="34"/>
    <w:qFormat/>
    <w:rsid w:val="00E13A27"/>
    <w:pPr>
      <w:spacing w:after="0" w:line="480" w:lineRule="auto"/>
      <w:ind w:left="720"/>
      <w:contextualSpacing/>
    </w:pPr>
  </w:style>
  <w:style w:type="paragraph" w:styleId="FootnoteText">
    <w:name w:val="footnote text"/>
    <w:basedOn w:val="Normal"/>
    <w:link w:val="FootnoteTextChar"/>
    <w:uiPriority w:val="99"/>
    <w:unhideWhenUsed/>
    <w:rsid w:val="00F75562"/>
    <w:pPr>
      <w:spacing w:after="0" w:line="240" w:lineRule="auto"/>
    </w:pPr>
    <w:rPr>
      <w:sz w:val="20"/>
      <w:szCs w:val="20"/>
    </w:rPr>
  </w:style>
  <w:style w:type="character" w:customStyle="1" w:styleId="FootnoteTextChar">
    <w:name w:val="Footnote Text Char"/>
    <w:basedOn w:val="DefaultParagraphFont"/>
    <w:link w:val="FootnoteText"/>
    <w:uiPriority w:val="99"/>
    <w:rsid w:val="00F75562"/>
    <w:rPr>
      <w:sz w:val="20"/>
      <w:szCs w:val="20"/>
    </w:rPr>
  </w:style>
  <w:style w:type="character" w:styleId="FootnoteReference">
    <w:name w:val="footnote reference"/>
    <w:basedOn w:val="DefaultParagraphFont"/>
    <w:uiPriority w:val="99"/>
    <w:unhideWhenUsed/>
    <w:rsid w:val="00F75562"/>
    <w:rPr>
      <w:vertAlign w:val="superscript"/>
    </w:rPr>
  </w:style>
  <w:style w:type="table" w:styleId="TableGrid">
    <w:name w:val="Table Grid"/>
    <w:basedOn w:val="TableNormal"/>
    <w:uiPriority w:val="59"/>
    <w:rsid w:val="00FA72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E4A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4A1C"/>
  </w:style>
  <w:style w:type="paragraph" w:styleId="Footer">
    <w:name w:val="footer"/>
    <w:basedOn w:val="Normal"/>
    <w:link w:val="FooterChar"/>
    <w:uiPriority w:val="99"/>
    <w:unhideWhenUsed/>
    <w:rsid w:val="00DE4A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4A1C"/>
  </w:style>
  <w:style w:type="paragraph" w:styleId="BalloonText">
    <w:name w:val="Balloon Text"/>
    <w:basedOn w:val="Normal"/>
    <w:link w:val="BalloonTextChar"/>
    <w:uiPriority w:val="99"/>
    <w:semiHidden/>
    <w:unhideWhenUsed/>
    <w:rsid w:val="00857D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7D57"/>
    <w:rPr>
      <w:rFonts w:ascii="Tahoma" w:hAnsi="Tahoma" w:cs="Tahoma"/>
      <w:sz w:val="16"/>
      <w:szCs w:val="16"/>
    </w:rPr>
  </w:style>
  <w:style w:type="character" w:styleId="Hyperlink">
    <w:name w:val="Hyperlink"/>
    <w:basedOn w:val="DefaultParagraphFont"/>
    <w:uiPriority w:val="99"/>
    <w:unhideWhenUsed/>
    <w:rsid w:val="00DA407F"/>
    <w:rPr>
      <w:color w:val="0000FF" w:themeColor="hyperlink"/>
      <w:u w:val="single"/>
    </w:rPr>
  </w:style>
  <w:style w:type="character" w:styleId="CommentReference">
    <w:name w:val="annotation reference"/>
    <w:basedOn w:val="DefaultParagraphFont"/>
    <w:uiPriority w:val="99"/>
    <w:semiHidden/>
    <w:unhideWhenUsed/>
    <w:rsid w:val="009B571F"/>
    <w:rPr>
      <w:sz w:val="16"/>
      <w:szCs w:val="16"/>
    </w:rPr>
  </w:style>
  <w:style w:type="paragraph" w:styleId="CommentText">
    <w:name w:val="annotation text"/>
    <w:basedOn w:val="Normal"/>
    <w:link w:val="CommentTextChar"/>
    <w:uiPriority w:val="99"/>
    <w:unhideWhenUsed/>
    <w:rsid w:val="009B571F"/>
    <w:pPr>
      <w:spacing w:line="240" w:lineRule="auto"/>
    </w:pPr>
    <w:rPr>
      <w:sz w:val="20"/>
      <w:szCs w:val="20"/>
    </w:rPr>
  </w:style>
  <w:style w:type="character" w:customStyle="1" w:styleId="CommentTextChar">
    <w:name w:val="Comment Text Char"/>
    <w:basedOn w:val="DefaultParagraphFont"/>
    <w:link w:val="CommentText"/>
    <w:uiPriority w:val="99"/>
    <w:rsid w:val="009B571F"/>
    <w:rPr>
      <w:sz w:val="20"/>
      <w:szCs w:val="20"/>
    </w:rPr>
  </w:style>
  <w:style w:type="paragraph" w:styleId="CommentSubject">
    <w:name w:val="annotation subject"/>
    <w:basedOn w:val="CommentText"/>
    <w:next w:val="CommentText"/>
    <w:link w:val="CommentSubjectChar"/>
    <w:uiPriority w:val="99"/>
    <w:semiHidden/>
    <w:unhideWhenUsed/>
    <w:rsid w:val="009B571F"/>
    <w:rPr>
      <w:b/>
      <w:bCs/>
    </w:rPr>
  </w:style>
  <w:style w:type="character" w:customStyle="1" w:styleId="CommentSubjectChar">
    <w:name w:val="Comment Subject Char"/>
    <w:basedOn w:val="CommentTextChar"/>
    <w:link w:val="CommentSubject"/>
    <w:uiPriority w:val="99"/>
    <w:semiHidden/>
    <w:rsid w:val="009B571F"/>
    <w:rPr>
      <w:b/>
      <w:bCs/>
      <w:sz w:val="20"/>
      <w:szCs w:val="20"/>
    </w:rPr>
  </w:style>
  <w:style w:type="paragraph" w:styleId="EndnoteText">
    <w:name w:val="endnote text"/>
    <w:basedOn w:val="Normal"/>
    <w:link w:val="EndnoteTextChar"/>
    <w:uiPriority w:val="99"/>
    <w:semiHidden/>
    <w:unhideWhenUsed/>
    <w:rsid w:val="00906CB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06CBB"/>
    <w:rPr>
      <w:sz w:val="20"/>
      <w:szCs w:val="20"/>
    </w:rPr>
  </w:style>
  <w:style w:type="character" w:styleId="EndnoteReference">
    <w:name w:val="endnote reference"/>
    <w:basedOn w:val="DefaultParagraphFont"/>
    <w:uiPriority w:val="99"/>
    <w:semiHidden/>
    <w:unhideWhenUsed/>
    <w:rsid w:val="00906CBB"/>
    <w:rPr>
      <w:vertAlign w:val="superscript"/>
    </w:rPr>
  </w:style>
  <w:style w:type="character" w:customStyle="1" w:styleId="label1">
    <w:name w:val="label1"/>
    <w:basedOn w:val="DefaultParagraphFont"/>
    <w:rsid w:val="006B4FB1"/>
    <w:rPr>
      <w:sz w:val="20"/>
      <w:szCs w:val="20"/>
    </w:rPr>
  </w:style>
  <w:style w:type="paragraph" w:customStyle="1" w:styleId="bullet4level1">
    <w:name w:val="bullet4 level1"/>
    <w:basedOn w:val="Normal"/>
    <w:rsid w:val="00192C6E"/>
    <w:pPr>
      <w:numPr>
        <w:numId w:val="9"/>
      </w:numPr>
      <w:tabs>
        <w:tab w:val="left" w:pos="3060"/>
      </w:tabs>
      <w:spacing w:after="120" w:line="260" w:lineRule="exact"/>
    </w:pPr>
    <w:rPr>
      <w:rFonts w:ascii="Arial" w:eastAsia="Times New Roman" w:hAnsi="Arial" w:cs="Times New Roman"/>
      <w:color w:val="1F497D" w:themeColor="text2"/>
      <w:sz w:val="21"/>
      <w:szCs w:val="24"/>
    </w:rPr>
  </w:style>
  <w:style w:type="paragraph" w:customStyle="1" w:styleId="m-8885962025766907527msolistparagraph">
    <w:name w:val="m_-8885962025766907527msolistparagraph"/>
    <w:basedOn w:val="Normal"/>
    <w:rsid w:val="0019077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l">
    <w:name w:val="il"/>
    <w:basedOn w:val="DefaultParagraphFont"/>
    <w:rsid w:val="00190776"/>
  </w:style>
  <w:style w:type="character" w:customStyle="1" w:styleId="UnresolvedMention1">
    <w:name w:val="Unresolved Mention1"/>
    <w:basedOn w:val="DefaultParagraphFont"/>
    <w:uiPriority w:val="99"/>
    <w:semiHidden/>
    <w:unhideWhenUsed/>
    <w:rsid w:val="00476493"/>
    <w:rPr>
      <w:color w:val="605E5C"/>
      <w:shd w:val="clear" w:color="auto" w:fill="E1DFDD"/>
    </w:rPr>
  </w:style>
  <w:style w:type="character" w:styleId="FollowedHyperlink">
    <w:name w:val="FollowedHyperlink"/>
    <w:basedOn w:val="DefaultParagraphFont"/>
    <w:uiPriority w:val="99"/>
    <w:semiHidden/>
    <w:unhideWhenUsed/>
    <w:rsid w:val="00D44601"/>
    <w:rPr>
      <w:color w:val="800080" w:themeColor="followedHyperlink"/>
      <w:u w:val="single"/>
    </w:rPr>
  </w:style>
  <w:style w:type="character" w:customStyle="1" w:styleId="UnresolvedMention2">
    <w:name w:val="Unresolved Mention2"/>
    <w:basedOn w:val="DefaultParagraphFont"/>
    <w:uiPriority w:val="99"/>
    <w:semiHidden/>
    <w:unhideWhenUsed/>
    <w:rsid w:val="00FE2DFF"/>
    <w:rPr>
      <w:color w:val="808080"/>
      <w:shd w:val="clear" w:color="auto" w:fill="E6E6E6"/>
    </w:rPr>
  </w:style>
  <w:style w:type="paragraph" w:styleId="Revision">
    <w:name w:val="Revision"/>
    <w:hidden/>
    <w:uiPriority w:val="99"/>
    <w:semiHidden/>
    <w:rsid w:val="00FE2D29"/>
    <w:pPr>
      <w:spacing w:after="0" w:line="240" w:lineRule="auto"/>
    </w:pPr>
  </w:style>
  <w:style w:type="paragraph" w:customStyle="1" w:styleId="Default">
    <w:name w:val="Default"/>
    <w:rsid w:val="00337FAE"/>
    <w:pPr>
      <w:autoSpaceDE w:val="0"/>
      <w:autoSpaceDN w:val="0"/>
      <w:adjustRightInd w:val="0"/>
      <w:spacing w:after="0" w:line="240" w:lineRule="auto"/>
    </w:pPr>
    <w:rPr>
      <w:rFonts w:ascii="Arial" w:hAnsi="Arial" w:cs="Arial"/>
      <w:color w:val="000000"/>
      <w:sz w:val="24"/>
      <w:szCs w:val="24"/>
    </w:rPr>
  </w:style>
  <w:style w:type="character" w:styleId="UnresolvedMention">
    <w:name w:val="Unresolved Mention"/>
    <w:basedOn w:val="DefaultParagraphFont"/>
    <w:uiPriority w:val="99"/>
    <w:semiHidden/>
    <w:unhideWhenUsed/>
    <w:rsid w:val="00C32F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8301">
      <w:bodyDiv w:val="1"/>
      <w:marLeft w:val="75"/>
      <w:marRight w:val="75"/>
      <w:marTop w:val="0"/>
      <w:marBottom w:val="0"/>
      <w:divBdr>
        <w:top w:val="none" w:sz="0" w:space="0" w:color="auto"/>
        <w:left w:val="none" w:sz="0" w:space="0" w:color="auto"/>
        <w:bottom w:val="none" w:sz="0" w:space="0" w:color="auto"/>
        <w:right w:val="none" w:sz="0" w:space="0" w:color="auto"/>
      </w:divBdr>
    </w:div>
    <w:div w:id="105973432">
      <w:bodyDiv w:val="1"/>
      <w:marLeft w:val="0"/>
      <w:marRight w:val="0"/>
      <w:marTop w:val="0"/>
      <w:marBottom w:val="0"/>
      <w:divBdr>
        <w:top w:val="none" w:sz="0" w:space="0" w:color="auto"/>
        <w:left w:val="none" w:sz="0" w:space="0" w:color="auto"/>
        <w:bottom w:val="none" w:sz="0" w:space="0" w:color="auto"/>
        <w:right w:val="none" w:sz="0" w:space="0" w:color="auto"/>
      </w:divBdr>
    </w:div>
    <w:div w:id="717900606">
      <w:bodyDiv w:val="1"/>
      <w:marLeft w:val="0"/>
      <w:marRight w:val="0"/>
      <w:marTop w:val="0"/>
      <w:marBottom w:val="0"/>
      <w:divBdr>
        <w:top w:val="none" w:sz="0" w:space="0" w:color="auto"/>
        <w:left w:val="none" w:sz="0" w:space="0" w:color="auto"/>
        <w:bottom w:val="none" w:sz="0" w:space="0" w:color="auto"/>
        <w:right w:val="none" w:sz="0" w:space="0" w:color="auto"/>
      </w:divBdr>
    </w:div>
    <w:div w:id="976453460">
      <w:bodyDiv w:val="1"/>
      <w:marLeft w:val="0"/>
      <w:marRight w:val="0"/>
      <w:marTop w:val="0"/>
      <w:marBottom w:val="0"/>
      <w:divBdr>
        <w:top w:val="none" w:sz="0" w:space="0" w:color="auto"/>
        <w:left w:val="none" w:sz="0" w:space="0" w:color="auto"/>
        <w:bottom w:val="none" w:sz="0" w:space="0" w:color="auto"/>
        <w:right w:val="none" w:sz="0" w:space="0" w:color="auto"/>
      </w:divBdr>
    </w:div>
    <w:div w:id="1166167299">
      <w:bodyDiv w:val="1"/>
      <w:marLeft w:val="0"/>
      <w:marRight w:val="0"/>
      <w:marTop w:val="0"/>
      <w:marBottom w:val="0"/>
      <w:divBdr>
        <w:top w:val="none" w:sz="0" w:space="0" w:color="auto"/>
        <w:left w:val="none" w:sz="0" w:space="0" w:color="auto"/>
        <w:bottom w:val="none" w:sz="0" w:space="0" w:color="auto"/>
        <w:right w:val="none" w:sz="0" w:space="0" w:color="auto"/>
      </w:divBdr>
    </w:div>
    <w:div w:id="1267233692">
      <w:bodyDiv w:val="1"/>
      <w:marLeft w:val="0"/>
      <w:marRight w:val="0"/>
      <w:marTop w:val="0"/>
      <w:marBottom w:val="0"/>
      <w:divBdr>
        <w:top w:val="none" w:sz="0" w:space="0" w:color="auto"/>
        <w:left w:val="none" w:sz="0" w:space="0" w:color="auto"/>
        <w:bottom w:val="none" w:sz="0" w:space="0" w:color="auto"/>
        <w:right w:val="none" w:sz="0" w:space="0" w:color="auto"/>
      </w:divBdr>
    </w:div>
    <w:div w:id="153164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chele@competitivepower.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pglobal.com/platts/en/market-insights/latest-news/natural-gas/022521-spp-recalculates-prices-after-winter-storm-led-to-gas-power-record-highs" TargetMode="External"/><Relationship Id="rId1" Type="http://schemas.openxmlformats.org/officeDocument/2006/relationships/hyperlink" Target="https://s21.q4cdn.com/410616722/files/doc_presentations/2021/Investor-Presentation_Business-Update_FINA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FE699C-EFBA-400B-93E0-261900891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1071</Words>
  <Characters>6106</Characters>
  <Application>Microsoft Office Word</Application>
  <DocSecurity>4</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OPC</dc:creator>
  <cp:lastModifiedBy>TCPA</cp:lastModifiedBy>
  <cp:revision>2</cp:revision>
  <cp:lastPrinted>2018-10-17T21:17:00Z</cp:lastPrinted>
  <dcterms:created xsi:type="dcterms:W3CDTF">2021-06-03T20:38:00Z</dcterms:created>
  <dcterms:modified xsi:type="dcterms:W3CDTF">2021-06-03T20:38:00Z</dcterms:modified>
</cp:coreProperties>
</file>